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header+xml" PartName="/word/header1.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180" w:before="1600"/>
        <w:jc w:val="center"/>
      </w:pPr>
      <w:r>
        <w:rPr>
          <w:rFonts w:ascii="Georgia" w:cs="Georgia" w:eastAsia="Georgia" w:hAnsi="Georgia"/>
          <w:b/>
          <w:bCs/>
          <w:color w:val="B22222"/>
          <w:sz w:val="36"/>
          <w:szCs w:val="36"/>
        </w:rPr>
        <w:t xml:space="preserve">SURETY ONE, INC.</w:t>
      </w:r>
    </w:p>
    <w:p>
      <w:pPr>
        <w:spacing w:after="120"/>
        <w:jc w:val="center"/>
      </w:pPr>
      <w:r>
        <w:rPr>
          <w:rFonts w:ascii="Nirmala UI" w:cs="Nirmala UI" w:eastAsia="Nirmala UI" w:hAnsi="Nirmala UI"/>
          <w:b/>
          <w:bCs/>
          <w:color w:val="B22222"/>
          <w:sz w:val="28"/>
          <w:szCs w:val="28"/>
        </w:rPr>
        <w:t xml:space="preserve">सुरटी वन, इंक.</w:t>
      </w:r>
    </w:p>
    <w:p>
      <w:pPr>
        <w:pBdr>
          <w:bottom w:val="single" w:color="B22222" w:sz="12" w:space="8"/>
        </w:pBdr>
        <w:spacing w:after="1100"/>
        <w:jc w:val="center"/>
      </w:pPr>
      <w:r>
        <w:rPr>
          <w:rFonts w:ascii="Nirmala UI" w:cs="Nirmala UI" w:eastAsia="Nirmala UI" w:hAnsi="Nirmala UI"/>
          <w:color w:val="000000"/>
          <w:sz w:val="20"/>
          <w:szCs w:val="20"/>
        </w:rPr>
        <w:t xml:space="preserve">रैले  •  सैन हुआन  •  राष्ट्रव्यापी सेवा</w:t>
      </w:r>
    </w:p>
    <w:p>
      <w:pPr>
        <w:spacing w:after="200"/>
        <w:jc w:val="center"/>
      </w:pPr>
      <w:r>
        <w:rPr>
          <w:rFonts w:ascii="Nirmala UI" w:cs="Nirmala UI" w:eastAsia="Nirmala UI" w:hAnsi="Nirmala UI"/>
          <w:color w:val="000000"/>
          <w:sz w:val="32"/>
          <w:szCs w:val="32"/>
        </w:rPr>
        <w:t xml:space="preserve">अमेरिकी सीमा शुल्क बॉन्ड</w:t>
      </w:r>
    </w:p>
    <w:p>
      <w:pPr>
        <w:spacing w:after="200"/>
        <w:jc w:val="center"/>
      </w:pPr>
      <w:r>
        <w:rPr>
          <w:rFonts w:ascii="Nirmala UI" w:cs="Nirmala UI" w:eastAsia="Nirmala UI" w:hAnsi="Nirmala UI"/>
          <w:b/>
          <w:bCs/>
          <w:color w:val="B22222"/>
          <w:sz w:val="44"/>
          <w:szCs w:val="44"/>
        </w:rPr>
        <w:t xml:space="preserve">व्यावसायिक मार्गदर्शिका</w:t>
      </w:r>
    </w:p>
    <w:p>
      <w:pPr>
        <w:spacing w:after="800"/>
        <w:jc w:val="center"/>
      </w:pPr>
      <w:r>
        <w:rPr>
          <w:rFonts w:ascii="Nirmala UI" w:cs="Nirmala UI" w:eastAsia="Nirmala UI" w:hAnsi="Nirmala UI"/>
          <w:i/>
          <w:iCs/>
          <w:color w:val="000000"/>
          <w:sz w:val="24"/>
          <w:szCs w:val="24"/>
        </w:rPr>
        <w:t xml:space="preserve">प्रत्येक CBP गतिविधि कोड की संपूर्ण व्याख्या</w:t>
      </w:r>
    </w:p>
    <w:p>
      <w:pPr>
        <w:spacing w:after="100"/>
        <w:jc w:val="center"/>
      </w:pPr>
      <w:r>
        <w:rPr>
          <w:rFonts w:ascii="Nirmala UI" w:cs="Nirmala UI" w:eastAsia="Nirmala UI" w:hAnsi="Nirmala UI"/>
          <w:color w:val="000000"/>
          <w:sz w:val="18"/>
          <w:szCs w:val="18"/>
        </w:rPr>
        <w:t xml:space="preserve">लेखक</w:t>
      </w:r>
    </w:p>
    <w:p>
      <w:pPr>
        <w:spacing w:after="100"/>
        <w:jc w:val="center"/>
      </w:pPr>
      <w:r>
        <w:rPr>
          <w:rFonts w:ascii="Georgia" w:cs="Georgia" w:eastAsia="Georgia" w:hAnsi="Georgia"/>
          <w:b/>
          <w:bCs/>
          <w:color w:val="B22222"/>
          <w:sz w:val="30"/>
          <w:szCs w:val="30"/>
        </w:rPr>
        <w:t xml:space="preserve">C. Constantin Poindexter</w:t>
      </w:r>
    </w:p>
    <w:p>
      <w:pPr>
        <w:spacing w:after="1100"/>
        <w:jc w:val="center"/>
      </w:pPr>
      <w:r>
        <w:rPr>
          <w:rFonts w:ascii="Nirmala UI" w:cs="Nirmala UI" w:eastAsia="Nirmala UI" w:hAnsi="Nirmala UI"/>
          <w:i/>
          <w:iCs/>
          <w:color w:val="000000"/>
          <w:sz w:val="20"/>
          <w:szCs w:val="20"/>
        </w:rPr>
        <w:t xml:space="preserve">संस्थापक, Surety One, Inc.</w:t>
      </w:r>
    </w:p>
    <w:p>
      <w:pPr>
        <w:pBdr>
          <w:top w:val="single" w:color="B22222" w:sz="12" w:space="8"/>
        </w:pBdr>
        <w:spacing w:after="60"/>
        <w:jc w:val="center"/>
      </w:pPr>
      <w:r>
        <w:rPr>
          <w:color w:val="000000"/>
          <w:sz w:val="16"/>
          <w:szCs w:val="16"/>
        </w:rPr>
        <w:t xml:space="preserve"/>
      </w:r>
    </w:p>
    <w:p>
      <w:pPr>
        <w:spacing w:after="60"/>
        <w:jc w:val="center"/>
      </w:pPr>
      <w:r>
        <w:rPr>
          <w:rFonts w:ascii="Georgia" w:cs="Georgia" w:eastAsia="Georgia" w:hAnsi="Georgia"/>
          <w:color w:val="000000"/>
          <w:sz w:val="18"/>
          <w:szCs w:val="18"/>
        </w:rPr>
        <w:t xml:space="preserve">Surety One, Inc.  •  P.O. Box 16451  •  San Juan, PR 00908</w:t>
      </w:r>
    </w:p>
    <w:p>
      <w:pPr>
        <w:spacing w:after="60"/>
        <w:jc w:val="center"/>
      </w:pPr>
      <w:r>
        <w:rPr>
          <w:rFonts w:ascii="Georgia" w:cs="Georgia" w:eastAsia="Georgia" w:hAnsi="Georgia"/>
          <w:color w:val="000000"/>
          <w:sz w:val="18"/>
          <w:szCs w:val="18"/>
        </w:rPr>
        <w:t xml:space="preserve">+1 (800) 373-2804  •  Underwriting@SuretyOne.com  •  SuretyOne.com</w:t>
      </w:r>
    </w:p>
    <w:p>
      <w:pPr>
        <w:spacing w:after="60"/>
        <w:jc w:val="center"/>
      </w:pPr>
      <w:r>
        <w:rPr>
          <w:rFonts w:ascii="Nirmala UI" w:cs="Nirmala UI" w:eastAsia="Nirmala UI" w:hAnsi="Nirmala UI"/>
          <w:b/>
          <w:bCs/>
          <w:color w:val="B22222"/>
          <w:sz w:val="20"/>
          <w:szCs w:val="20"/>
        </w:rPr>
        <w:t xml:space="preserve">ग्राहक पोर्टल: Customs-Bonds.com</w:t>
      </w:r>
    </w:p>
    <w:p>
      <w:pPr>
        <w:pStyle w:val="Heading1"/>
        <w:pageBreakBefore/>
        <w:pBdr>
          <w:bottom w:val="single" w:color="B22222" w:sz="12" w:space="4"/>
        </w:pBdr>
        <w:spacing w:after="240" w:before="240"/>
      </w:pPr>
      <w:r>
        <w:rPr>
          <w:rFonts w:ascii="Nirmala UI" w:cs="Nirmala UI" w:eastAsia="Nirmala UI" w:hAnsi="Nirmala UI"/>
          <w:b/>
          <w:bCs/>
          <w:color w:val="B22222"/>
          <w:sz w:val="36"/>
          <w:szCs w:val="36"/>
        </w:rPr>
        <w:t xml:space="preserve">विषय-सूची</w:t>
      </w:r>
    </w:p>
    <w:p>
      <w:pPr>
        <w:spacing w:after="200"/>
        <w:jc w:val="left"/>
      </w:pPr>
      <w:r>
        <w:rPr>
          <w:rFonts w:ascii="Nirmala UI" w:cs="Nirmala UI" w:eastAsia="Nirmala UI" w:hAnsi="Nirmala UI"/>
          <w:b/>
          <w:bCs/>
          <w:color w:val="B22222"/>
          <w:sz w:val="20"/>
          <w:szCs w:val="20"/>
        </w:rPr>
        <w:t xml:space="preserve">टिप्पणी: </w:t>
      </w:r>
      <w:r>
        <w:rPr>
          <w:rFonts w:ascii="Mangal" w:cs="Mangal" w:eastAsia="Mangal" w:hAnsi="Mangal"/>
          <w:i/>
          <w:iCs/>
          <w:color w:val="000000"/>
          <w:sz w:val="20"/>
          <w:szCs w:val="20"/>
        </w:rPr>
        <w:t xml:space="preserve">यदि नीचे की तालिका रिक्त दिखाई दे, तो उस क्षेत्र पर राइट-क्लिक करें और “Update Field” चुनें (Microsoft Word में F9 कुंजी; Apple Pages अथवा Google Docs में दस्तावेज़ को पुनः खोलें) ताकि सामग्री अपने आप उत्पन्न हो जाए।</w:t>
      </w:r>
    </w:p>
    <w:sdt>
      <w:sdtPr>
        <w:alias w:val="Table of Contents"/>
      </w:sdtPr>
      <w:sdtContent>
        <w:p>
          <w:r>
            <w:fldChar w:fldCharType="begin" w:dirty="true"/>
            <w:instrText xml:space="preserve">TOC \h \o "1-3"</w:instrText>
            <w:fldChar w:fldCharType="separate"/>
          </w:r>
        </w:p>
        <w:p>
          <w:r>
            <w:fldChar w:fldCharType="end"/>
          </w:r>
        </w:p>
      </w:sdtContent>
    </w:sdt>
    <w:p>
      <w:pPr>
        <w:pStyle w:val="Heading1"/>
        <w:pageBreakBefore/>
        <w:pBdr>
          <w:bottom w:val="single" w:color="B22222" w:sz="12" w:space="4"/>
        </w:pBdr>
        <w:spacing w:after="240" w:before="240"/>
      </w:pPr>
      <w:r>
        <w:rPr>
          <w:rFonts w:ascii="Nirmala UI" w:cs="Nirmala UI" w:eastAsia="Nirmala UI" w:hAnsi="Nirmala UI"/>
          <w:b/>
          <w:bCs/>
          <w:color w:val="B22222"/>
          <w:sz w:val="36"/>
          <w:szCs w:val="36"/>
        </w:rPr>
        <w:t xml:space="preserve">संस्थापक का प्राक्कथन</w:t>
      </w:r>
    </w:p>
    <w:p>
      <w:pPr>
        <w:spacing w:after="140" w:line="340"/>
        <w:jc w:val="both"/>
      </w:pPr>
      <w:r>
        <w:rPr>
          <w:rFonts w:ascii="Mangal" w:cs="Mangal" w:eastAsia="Mangal" w:hAnsi="Mangal"/>
          <w:color w:val="000000"/>
          <w:sz w:val="22"/>
          <w:szCs w:val="22"/>
        </w:rPr>
        <w:t xml:space="preserve">सीमा शुल्क बॉन्ड सीमा-पार व्यापार के अदृश्य संयोजक ऊतक हैं। ये वे शांत वित्तीय उपकरण हैं जो माल को आगे बढ़ने, बंदरगाहों को निकासी देने, धन-वापसी को प्रवाहित होने तथा राजस्व को स्वयं की रक्षा करने में सक्षम बनाते हैं। तथापि, ये उपकरण प्रायः ग़लत समझे जाते हैं। अनेक आयातक सीमा शुल्क बॉन्ड से पहली बार तब परिचित होते हैं जब उनका सीमा शुल्क दलाल जहाज़ रवाना होने से कुछ ही क्षण पूर्व उन्हें यह एक खर्च-मद के रूप में थमा देता है; इसकी कार्य-प्रणाली का वास्तविक ज्ञान उन्हें केवल तब प्राप्त होता है जब “अपर्याप्तता सूचना”, धन-वापसी में विलंब अथवा कोई दावा आ खड़ा होता है।</w:t>
      </w:r>
    </w:p>
    <w:p>
      <w:pPr>
        <w:spacing w:after="140" w:line="340"/>
        <w:jc w:val="both"/>
      </w:pPr>
      <w:r>
        <w:rPr>
          <w:rFonts w:ascii="Mangal" w:cs="Mangal" w:eastAsia="Mangal" w:hAnsi="Mangal"/>
          <w:color w:val="000000"/>
          <w:sz w:val="22"/>
          <w:szCs w:val="22"/>
        </w:rPr>
        <w:t xml:space="preserve">इस मार्गदर्शिका का प्रयोजन इसी कमी को दूर करना है। यह पुस्तक संयुक्त राज्य अमेरिका की सीमा एवं शुल्क संरक्षण एजेंसी (CBP) द्वारा अपेक्षित बॉन्ड के प्रत्येक वर्ग का विवेचन करती है, और वही क्रम अपनाती है जिसमें स्वयं CBP उन्हें Form 301 पर वर्गीकृत करता है — अर्थात् “गतिविधि कोड” के अनुसार। प्रत्येक वर्ग के लिए आप उसकी व्यावसायिक उपयोगिता, जारीकर्ता, सतत (continuous) अथवा एकल-लेन-देन (STB) के रूप में उपलब्धता, सुसंगत विधिक आधार, तथा तीन दशकों के अंडरराइटिंग अनुभव से निकले व्यावहारिक अवलोकन पाएँगे। शब्दावली एवं उपयोगी कड़ियों की सूचियाँ पुस्तक के अंत में दी गई हैं।</w:t>
      </w:r>
    </w:p>
    <w:p>
      <w:pPr>
        <w:spacing w:after="140" w:line="340"/>
        <w:jc w:val="both"/>
      </w:pPr>
      <w:r>
        <w:rPr>
          <w:rFonts w:ascii="Mangal" w:cs="Mangal" w:eastAsia="Mangal" w:hAnsi="Mangal"/>
          <w:color w:val="000000"/>
          <w:sz w:val="22"/>
          <w:szCs w:val="22"/>
        </w:rPr>
        <w:t xml:space="preserve">इस संस्करण का बाज़ार-प्रसंग भी महत्वपूर्ण है। यू.एस. सुप्रीम कोर्ट के 20 फ़रवरी 2026 के Learning Resources, Inc. v. Trump निर्णय ने उन IEEPA-आधारित प्रशुल्क व्यवस्थाओं को अमान्य ठहरा दिया जिन्होंने 2025 से आयातकों के बॉन्ड परिमाण में निरंतर अस्थिरता पैदा कर रखी थी। इसका डाउनस्ट्रीम परिणाम यह है कि अब बॉन्ड का पुनः-परिमाणन, अपर्याप्तता का सुधार, तथा धन-वापसी-संचालित गतिविधि की बड़ी लहर देखी जा रही है। इस मार्गदर्शिका में दिए गए परामर्श इसी पृष्ठभूमि के साथ लिखे गए हैं।</w:t>
      </w:r>
    </w:p>
    <w:p>
      <w:pPr>
        <w:spacing w:after="140" w:line="340"/>
        <w:jc w:val="both"/>
      </w:pPr>
      <w:r>
        <w:rPr>
          <w:rFonts w:ascii="Mangal" w:cs="Mangal" w:eastAsia="Mangal" w:hAnsi="Mangal"/>
          <w:color w:val="000000"/>
          <w:sz w:val="22"/>
          <w:szCs w:val="22"/>
        </w:rPr>
        <w:t xml:space="preserve">Surety One, Inc. ने 1995 से सीमा शुल्क बॉन्ड का अंडरराइटिंग किया है तथा CBP द्वारा मान्य प्रत्येक वर्ग के बॉन्ड जारी करता है। यदि आप आयातक हैं, लाइसेंस-धारी सीमा शुल्क दलाल हैं, विदेशी व्यापार क्षेत्र के संचालक हैं, बंधक गोदाम के संचालक हैं, अंतरराष्ट्रीय परिवाहक हैं, कार्टमैन या लाइटरमैन हैं, केंद्रीकृत निरीक्षण स्टेशन हैं, सार्वजनिक मापक हैं, अधिकार-स्वामी हैं अथवा समुद्री टर्मिनल संचालक हैं — तो यह मार्गदर्शिका आपके लिए है।</w:t>
      </w:r>
    </w:p>
    <w:p>
      <w:pPr>
        <w:pBdr>
          <w:left w:val="single" w:color="B22222" w:sz="24" w:space="12"/>
          <w:right w:val="single" w:color="B22222" w:sz="24" w:space="12"/>
        </w:pBdr>
        <w:spacing w:after="220" w:before="220" w:line="360"/>
        <w:ind w:left="720" w:right="720"/>
        <w:jc w:val="center"/>
      </w:pPr>
      <w:r>
        <w:rPr>
          <w:rFonts w:ascii="Mangal" w:cs="Mangal" w:eastAsia="Mangal" w:hAnsi="Mangal"/>
          <w:i/>
          <w:iCs/>
          <w:color w:val="000000"/>
          <w:sz w:val="24"/>
          <w:szCs w:val="24"/>
        </w:rPr>
        <w:t xml:space="preserve">“सीमा शुल्क बॉन्ड एक ऐसा अनुबंध है जो किसी क़ानून अथवा विनियम द्वारा अधिरोपित दायित्व के निर्वहन को सुनिश्चित करने के लिए दिया जाता है।”</w:t>
      </w:r>
      <w:r>
        <w:rPr>
          <w:rFonts w:ascii="Nirmala UI" w:cs="Nirmala UI" w:eastAsia="Nirmala UI" w:hAnsi="Nirmala UI"/>
          <w:color w:val="B22222"/>
          <w:sz w:val="20"/>
          <w:szCs w:val="20"/>
        </w:rPr>
        <w:t xml:space="preserve">   — 19 CFR § 113.1</w:t>
      </w:r>
    </w:p>
    <w:p>
      <w:pPr>
        <w:spacing w:after="140" w:line="340"/>
        <w:jc w:val="both"/>
      </w:pPr>
      <w:r>
        <w:rPr>
          <w:rFonts w:ascii="Mangal" w:cs="Mangal" w:eastAsia="Mangal" w:hAnsi="Mangal"/>
          <w:color w:val="000000"/>
          <w:sz w:val="22"/>
          <w:szCs w:val="22"/>
        </w:rPr>
        <w:t xml:space="preserve">आप इस पुस्तक को आद्योपांत पढ़ सकते हैं, अथवा विषय-सूची की सहायता से सीधे अपने गतिविधि कोड पर जा सकते हैं। चाहे जिस भी विधि से पढ़ें, इसे समाप्त करने के पश्चात् आप यह जान चुके होंगे कि बॉन्ड के अंतर्गत क्या प्रत्याभूत है, उत्तरदायित्व किस पर है, तथा कोटेशन माँगते समय आपको कौन-सी जानकारी प्रस्तुत करनी चाहिए।</w:t>
      </w:r>
    </w:p>
    <w:p>
      <w:pPr>
        <w:spacing w:after="220"/>
      </w:pPr>
      <w:r>
        <w:t xml:space="preserve"/>
      </w:r>
    </w:p>
    <w:p>
      <w:pPr>
        <w:jc w:val="right"/>
      </w:pPr>
      <w:r>
        <w:rPr>
          <w:rFonts w:ascii="Georgia" w:cs="Georgia" w:eastAsia="Georgia" w:hAnsi="Georgia"/>
          <w:b/>
          <w:bCs/>
          <w:color w:val="B22222"/>
          <w:sz w:val="24"/>
          <w:szCs w:val="24"/>
        </w:rPr>
        <w:t xml:space="preserve">C. Constantin Poindexter</w:t>
      </w:r>
    </w:p>
    <w:p>
      <w:pPr>
        <w:jc w:val="right"/>
      </w:pPr>
      <w:r>
        <w:rPr>
          <w:rFonts w:ascii="Nirmala UI" w:cs="Nirmala UI" w:eastAsia="Nirmala UI" w:hAnsi="Nirmala UI"/>
          <w:i/>
          <w:iCs/>
          <w:color w:val="000000"/>
          <w:sz w:val="20"/>
          <w:szCs w:val="20"/>
        </w:rPr>
        <w:t xml:space="preserve">संस्थापक, Surety One, Inc.</w:t>
      </w:r>
    </w:p>
    <w:p>
      <w:pPr>
        <w:jc w:val="right"/>
      </w:pPr>
      <w:r>
        <w:rPr>
          <w:rFonts w:ascii="Nirmala UI" w:cs="Nirmala UI" w:eastAsia="Nirmala UI" w:hAnsi="Nirmala UI"/>
          <w:color w:val="000000"/>
          <w:sz w:val="20"/>
          <w:szCs w:val="20"/>
        </w:rPr>
        <w:t xml:space="preserve">रैले, उत्तरी कैरोलिना</w:t>
      </w:r>
    </w:p>
    <w:p>
      <w:pPr>
        <w:pStyle w:val="Heading1"/>
        <w:pageBreakBefore/>
        <w:pBdr>
          <w:bottom w:val="single" w:color="B22222" w:sz="12" w:space="4"/>
        </w:pBdr>
        <w:spacing w:after="240" w:before="240"/>
      </w:pPr>
      <w:r>
        <w:rPr>
          <w:rFonts w:ascii="Nirmala UI" w:cs="Nirmala UI" w:eastAsia="Nirmala UI" w:hAnsi="Nirmala UI"/>
          <w:b/>
          <w:bCs/>
          <w:color w:val="B22222"/>
          <w:sz w:val="36"/>
          <w:szCs w:val="36"/>
        </w:rPr>
        <w:t xml:space="preserve">भाग I  —  मूलभूत सिद्धांत</w:t>
      </w:r>
    </w:p>
    <w:p>
      <w:pPr>
        <w:pStyle w:val="Heading2"/>
        <w:spacing w:after="140" w:before="280"/>
      </w:pPr>
      <w:r>
        <w:rPr>
          <w:rFonts w:ascii="Nirmala UI" w:cs="Nirmala UI" w:eastAsia="Nirmala UI" w:hAnsi="Nirmala UI"/>
          <w:b/>
          <w:bCs/>
          <w:color w:val="000000"/>
          <w:sz w:val="28"/>
          <w:szCs w:val="28"/>
        </w:rPr>
        <w:t xml:space="preserve">सीमा शुल्क बॉन्ड क्या है</w:t>
      </w:r>
    </w:p>
    <w:p>
      <w:pPr>
        <w:spacing w:after="140" w:line="340"/>
        <w:jc w:val="both"/>
      </w:pPr>
      <w:r>
        <w:rPr>
          <w:rFonts w:ascii="Mangal" w:cs="Mangal" w:eastAsia="Mangal" w:hAnsi="Mangal"/>
          <w:color w:val="000000"/>
          <w:sz w:val="22"/>
          <w:szCs w:val="22"/>
        </w:rPr>
        <w:t xml:space="preserve">सीमा शुल्क बॉन्ड त्रिपक्षीय प्रत्याभूति अनुबंध है। इसके तीन पक्ष हैं: मुख्य देनदार (आयातक, सीमा शुल्क दलाल, परिवाहक, गोदाम, FTZ संचालक अथवा अन्य विनियमित निकाय); लाभार्थी अथवा बाध्य-पक्ष (CBP, जो संयुक्त राज्य अमेरिका सरकार एवं कुछ सहयोगी संघीय एजेंसियों की ओर से कार्य करता है); तथा प्रत्याभू अथवा गारंटर (राजकोष-सूचीबद्ध बीमा कंपनी जो CBP के समक्ष मुख्य देनदार के दायित्वों की वित्तीय प्रत्याभूति प्रदान करती है)। जब मुख्य देनदार क़ानून एवं विनियम के अनुसार अपने दायित्वों का निर्वहन करता है, तब बॉन्ड शांत बना रहता है। जब वह ऐसा नहीं करता — शुल्क अदा न करना, मेनिफ़ेस्ट का दोषपूर्ण होना, बंधक माल का अनुपलब्ध हो जाना, धन-वापसी अनुचित रूप से प्राप्त कर लेना — तब CBP बॉन्ड की दंडात्मक राशि तक प्रत्याभू से वसूली कर सकता है, और प्रत्याभू अपनी ओर से मुख्य देनदार से क्षतिपूर्ति माँगता है।</w:t>
      </w:r>
    </w:p>
    <w:p>
      <w:pPr>
        <w:spacing w:after="140" w:line="340"/>
        <w:jc w:val="both"/>
      </w:pPr>
      <w:r>
        <w:rPr>
          <w:rFonts w:ascii="Mangal" w:cs="Mangal" w:eastAsia="Mangal" w:hAnsi="Mangal"/>
          <w:color w:val="000000"/>
          <w:sz w:val="22"/>
          <w:szCs w:val="22"/>
        </w:rPr>
        <w:t xml:space="preserve">यह वित्तीय प्रत्याभूति का उपकरण है, परंपरागत अर्थ में बीमा नहीं। प्रत्याभू द्वारा भुगतान की गई राशि के लिए मुख्य देनदार सदैव अंततः उत्तरदायी रहता है।</w:t>
      </w:r>
    </w:p>
    <w:p>
      <w:pPr>
        <w:pStyle w:val="Heading2"/>
        <w:spacing w:after="140" w:before="280"/>
      </w:pPr>
      <w:r>
        <w:rPr>
          <w:rFonts w:ascii="Nirmala UI" w:cs="Nirmala UI" w:eastAsia="Nirmala UI" w:hAnsi="Nirmala UI"/>
          <w:b/>
          <w:bCs/>
          <w:color w:val="000000"/>
          <w:sz w:val="28"/>
          <w:szCs w:val="28"/>
        </w:rPr>
        <w:t xml:space="preserve">जारी करने के दो प्रकार</w:t>
      </w:r>
    </w:p>
    <w:p>
      <w:pPr>
        <w:spacing w:after="140" w:line="340"/>
        <w:jc w:val="both"/>
      </w:pPr>
      <w:r>
        <w:rPr>
          <w:rFonts w:ascii="Nirmala UI" w:cs="Nirmala UI" w:eastAsia="Nirmala UI" w:hAnsi="Nirmala UI"/>
          <w:b/>
          <w:bCs/>
          <w:color w:val="B22222"/>
          <w:sz w:val="22"/>
          <w:szCs w:val="22"/>
        </w:rPr>
        <w:t xml:space="preserve">सतत बॉन्ड (Continuous Bond)।  </w:t>
      </w:r>
      <w:r>
        <w:rPr>
          <w:rFonts w:ascii="Mangal" w:cs="Mangal" w:eastAsia="Mangal" w:hAnsi="Mangal"/>
          <w:color w:val="000000"/>
          <w:sz w:val="22"/>
          <w:szCs w:val="22"/>
        </w:rPr>
        <w:t xml:space="preserve">यह स्वयं नवीनीकृत होने वाला उपकरण है जो प्रत्येक प्रवेश-बंदरगाह से होने वाले सभी पात्र लेन-देनों को एक वर्ष तक — अथवा समाप्ति तक — आच्छादित करता है। यह नियमित सीमा शुल्क गतिविधि करने वाली इकाइयों के लिए मानक स्वरूप है — आवर्ती आयातक, सीमा शुल्क दलाल, बंधक गोदाम, FTZ संचालक, अंतरराष्ट्रीय परिवाहक तथा अधिकांश संरक्षण-वर्ग। सतत बॉन्ड का परिमाण किसी एक खेप के अनुसार नहीं, बल्कि मुख्य देनदार के वार्षिक जोखिम-अनावरण के आधार पर निर्धारित होता है।</w:t>
      </w:r>
    </w:p>
    <w:p>
      <w:pPr>
        <w:spacing w:after="140" w:line="340"/>
        <w:jc w:val="both"/>
      </w:pPr>
      <w:r>
        <w:rPr>
          <w:rFonts w:ascii="Nirmala UI" w:cs="Nirmala UI" w:eastAsia="Nirmala UI" w:hAnsi="Nirmala UI"/>
          <w:b/>
          <w:bCs/>
          <w:color w:val="B22222"/>
          <w:sz w:val="22"/>
          <w:szCs w:val="22"/>
        </w:rPr>
        <w:t xml:space="preserve">एकल-लेन-देन बॉन्ड (Single Transaction Bond — STB)।  </w:t>
      </w:r>
      <w:r>
        <w:rPr>
          <w:rFonts w:ascii="Mangal" w:cs="Mangal" w:eastAsia="Mangal" w:hAnsi="Mangal"/>
          <w:color w:val="000000"/>
          <w:sz w:val="22"/>
          <w:szCs w:val="22"/>
        </w:rPr>
        <w:t xml:space="preserve">STB ठीक एक सीमा शुल्क लेन-देन को आच्छादित करता है — सामान्यतः माल की एक प्रविष्टि, एक in-bond संचलन, एक IPR नमूना निर्गमन अथवा एक ज़ब्ती-संबंधी दायित्व। यह एकल खेप, कम-आवृत्ति वाले आयातक, तथा उन गतिविधि कोडों के लिए उपयुक्त है जिन्हें CBP केवल एकल-लेन-देन के रूप में अनुमत करता है। कुछ कोड केवल सतत-रूप में होते हैं (जैसे कोड 2 की संरक्षण-वर्ग बॉन्ड तथा कोड 11 की हवाई अड्डा सुरक्षा बॉन्ड); अन्य केवल STB के रूप में होते हैं (कोड 6, 8, 9, 10 तथा 12 आदि)।</w:t>
      </w:r>
    </w:p>
    <w:p>
      <w:pPr>
        <w:pStyle w:val="Heading2"/>
        <w:spacing w:after="140" w:before="280"/>
      </w:pPr>
      <w:r>
        <w:rPr>
          <w:rFonts w:ascii="Nirmala UI" w:cs="Nirmala UI" w:eastAsia="Nirmala UI" w:hAnsi="Nirmala UI"/>
          <w:b/>
          <w:bCs/>
          <w:color w:val="000000"/>
          <w:sz w:val="28"/>
          <w:szCs w:val="28"/>
        </w:rPr>
        <w:t xml:space="preserve">CBP बॉन्ड राशि का निर्धारण किस प्रकार करता है</w:t>
      </w:r>
    </w:p>
    <w:p>
      <w:pPr>
        <w:spacing w:after="140" w:line="340"/>
        <w:jc w:val="both"/>
      </w:pPr>
      <w:r>
        <w:rPr>
          <w:rFonts w:ascii="Mangal" w:cs="Mangal" w:eastAsia="Mangal" w:hAnsi="Mangal"/>
          <w:color w:val="000000"/>
          <w:sz w:val="22"/>
          <w:szCs w:val="22"/>
        </w:rPr>
        <w:t xml:space="preserve">CBP ने एक संरचित पद्धति-पुस्तिका, A Guide for the Public: How CBP Sets Bond Amounts, प्रकाशित की है, जिसमें प्रत्येक गतिविधि कोड का परिमाणन निर्धारित है। सतत कोड 1 आयातक बॉन्ड के लिए सामान्य नियम यह है: पिछले बारह माह में CBP को भुगतान किए गए शुल्क, करों एवं प्रभारों का दस प्रतिशत, न्यूनतम पचास हज़ार डॉलर के अधीन तथा निर्धारित गोलीकरण-नियमों (एक मिलियन डॉलर से नीचे प्रति दस हज़ार डॉलर; एक मिलियन डॉलर अथवा उससे ऊपर प्रति एक लाख डॉलर) के अधीन। संरक्षण-वर्ग तथा drawback बॉन्ड के अपने न्यूनतम तथा गोलीकरण-नियम हैं, जो सामान्यतः क्रमशः पच्चीस हज़ार डॉलर एवं पचास हज़ार डॉलर से प्रारंभ होते हैं। अंतरराष्ट्रीय परिवाहक बॉन्ड के न्यूनतम परिवाहन-साधन के प्रकार पर निर्भर हैं।</w:t>
      </w:r>
    </w:p>
    <w:p>
      <w:pPr>
        <w:spacing w:after="140" w:line="340"/>
        <w:jc w:val="both"/>
      </w:pPr>
      <w:r>
        <w:rPr>
          <w:rFonts w:ascii="Mangal" w:cs="Mangal" w:eastAsia="Mangal" w:hAnsi="Mangal"/>
          <w:color w:val="000000"/>
          <w:sz w:val="22"/>
          <w:szCs w:val="22"/>
        </w:rPr>
        <w:t xml:space="preserve">मूल प्रविष्टि पर एकल-लेन-देन बॉन्ड के लिए CBP सामान्यतः बॉन्ड को माल के घोषित मूल्य तथा समस्त शुल्क, करों एवं प्रभारों के योग के बराबर निर्धारित करता है; यदि प्रविष्टि किसी अन्य एजेंसी (FDA, EPA, USDA, DOT, FCC, ATF) के विनियम के अधीन है, तो STB की राशि सामान्यतः घोषित मूल्य का तीन गुना होती है। कोटा-वर्ग, एंटी-डंपिंग तथा प्रति-सहायता शुल्क-वर्ग के माल के लिए स्वतंत्र परिमाणन नियम होते हैं। जब CBP यह निर्धारित करता है कि सतत बॉन्ड अब राजस्व की पर्याप्त रक्षा नहीं करता, तो वह एक “अपर्याप्तता सूचना” निर्गत करता है तथा मुख्य देनदार को नियत समयावधि देता है जिसके भीतर उसे बड़े परिमाण का नया बॉन्ड जारी करना होता है।</w:t>
      </w:r>
    </w:p>
    <w:p>
      <w:pPr>
        <w:pStyle w:val="Heading2"/>
        <w:spacing w:after="140" w:before="280"/>
      </w:pPr>
      <w:r>
        <w:rPr>
          <w:rFonts w:ascii="Nirmala UI" w:cs="Nirmala UI" w:eastAsia="Nirmala UI" w:hAnsi="Nirmala UI"/>
          <w:b/>
          <w:bCs/>
          <w:color w:val="000000"/>
          <w:sz w:val="28"/>
          <w:szCs w:val="28"/>
        </w:rPr>
        <w:t xml:space="preserve">2026 में परिमाणन का विशेष महत्व</w:t>
      </w:r>
    </w:p>
    <w:p>
      <w:pPr>
        <w:spacing w:after="140" w:line="340"/>
        <w:jc w:val="both"/>
      </w:pPr>
      <w:r>
        <w:rPr>
          <w:rFonts w:ascii="Mangal" w:cs="Mangal" w:eastAsia="Mangal" w:hAnsi="Mangal"/>
          <w:color w:val="000000"/>
          <w:sz w:val="22"/>
          <w:szCs w:val="22"/>
        </w:rPr>
        <w:t xml:space="preserve">वर्ष 2024 एवं 2025 में लगाए गए प्रशुल्क-निर्णयों ने अनेक आयातकों के शुल्क-भार को सारगर्भित रूप से परिवर्तित कर दिया। सुप्रीम कोर्ट के Learning Resources, Inc. v. Trump निर्णय (20 फ़रवरी 2026) ने IEEPA-आधारित पारस्परिक एवं अवैध-तस्करी प्रशुल्क व्यवस्थाओं को अमान्य घोषित कर दिया। फलस्वरूप, अनेक सतत कोड 1 बॉन्ड एक प्रशुल्क-यथार्थ के अनुसार परिमाणित हुए थे और अब एक भिन्न प्रशुल्क-यथार्थ पर खड़े हैं। कुछ का पुनः-परिमाणन घटाव की दिशा में होगा क्योंकि शुल्क-इतिहास सामान्य हो रहा है; अन्य के लिए पूर्व-भुगतान की गई राशियों पर CBP के CAPE धन-वापसी पोर्टल के माध्यम से रिफंड देखा जाएगा। व्यावहारिक निहितार्थ यह है कि इस वर्ष आयातकों एवं उनके दलालों को अपेक्षा करनी चाहिए कि बॉन्ड पुनः-परिमाणन, धन-वापसी से जुड़े drawback दावे, तथा अपर्याप्तता-सुधार सामान्य वर्ष की तुलना में अधिक होंगे।</w:t>
      </w:r>
    </w:p>
    <w:p>
      <w:pPr>
        <w:pStyle w:val="Heading2"/>
        <w:spacing w:after="140" w:before="280"/>
      </w:pPr>
      <w:r>
        <w:rPr>
          <w:rFonts w:ascii="Nirmala UI" w:cs="Nirmala UI" w:eastAsia="Nirmala UI" w:hAnsi="Nirmala UI"/>
          <w:b/>
          <w:bCs/>
          <w:color w:val="000000"/>
          <w:sz w:val="28"/>
          <w:szCs w:val="28"/>
        </w:rPr>
        <w:t xml:space="preserve">सीमा शुल्क बॉन्ड कौन जारी कर सकता है</w:t>
      </w:r>
    </w:p>
    <w:p>
      <w:pPr>
        <w:spacing w:after="140" w:line="340"/>
        <w:jc w:val="both"/>
      </w:pPr>
      <w:r>
        <w:rPr>
          <w:rFonts w:ascii="Mangal" w:cs="Mangal" w:eastAsia="Mangal" w:hAnsi="Mangal"/>
          <w:color w:val="000000"/>
          <w:sz w:val="22"/>
          <w:szCs w:val="22"/>
        </w:rPr>
        <w:t xml:space="preserve">केवल वे प्रत्याभू, जो अमेरिकी राजकोष विभाग की Listing of Certified Companies (साधारणतः Treasury Circular 570 के नाम से ज्ञात) में सूचीबद्ध हैं, सीमा शुल्क बॉन्ड जारी कर सकते हैं। प्रत्येक राजकोष-सूचीबद्ध कंपनी को CBP तथा Fiscal Service द्वारा एक त्रि-अंकीय “प्रत्याभू कोड” प्रदान किया जाता है। मुख्य देनदार के दलाल अथवा प्रत्याभूति मध्यवर्ती के माध्यम से बॉन्ड किसी सूचीबद्ध प्रत्याभू के पास रखा जाता है, जो उसे इलेक्ट्रॉनिक रूप से CBP को प्रेषित कर देता है। वर्तमान विनियम सामान्यतः अनुमोदित प्रेषण-तंत्रों के माध्यम से इलेक्ट्रॉनिक बॉन्ड प्रस्तुति की अनिवार्यता करते हैं।</w:t>
      </w:r>
    </w:p>
    <w:p>
      <w:pPr>
        <w:pStyle w:val="Heading2"/>
        <w:spacing w:after="140" w:before="280"/>
      </w:pPr>
      <w:r>
        <w:rPr>
          <w:rFonts w:ascii="Nirmala UI" w:cs="Nirmala UI" w:eastAsia="Nirmala UI" w:hAnsi="Nirmala UI"/>
          <w:b/>
          <w:bCs/>
          <w:color w:val="000000"/>
          <w:sz w:val="28"/>
          <w:szCs w:val="28"/>
        </w:rPr>
        <w:t xml:space="preserve">मानक एवं अ-मानक कार्यक्रम</w:t>
      </w:r>
    </w:p>
    <w:p>
      <w:pPr>
        <w:spacing w:after="140" w:line="340"/>
        <w:jc w:val="both"/>
      </w:pPr>
      <w:r>
        <w:rPr>
          <w:rFonts w:ascii="Mangal" w:cs="Mangal" w:eastAsia="Mangal" w:hAnsi="Mangal"/>
          <w:color w:val="000000"/>
          <w:sz w:val="22"/>
          <w:szCs w:val="22"/>
        </w:rPr>
        <w:t xml:space="preserve">अधिकांश आयातक एवं संरक्षण-वर्ग ग्राहक कंपनी की वित्तीय सुदृढ़ता, दावा-इतिहास, स्वामी-क्रेडिट प्रोफ़ाइल तथा व्यवसाय की अवधि के आधार पर मानक सीमा शुल्क बॉन्ड कार्यक्रम के लिए पात्र होते हैं। जो आवेदक मानक श्रेणी में नहीं आते — नवस्थापित निकाय, संपार्श्विक-योग्य बहीखाते वाले मुख्य देनदार, उच्च शुल्क-दर वाले माल का आयात करने वाले मुख्य देनदार, अथवा वे जिनकी हालिया दावा-स्थिति या वित्तीय स्थिति संपार्श्विक-आवश्यकता उत्पन्न करती है — उन्हें भी अ-मानक कार्यक्रम के अंतर्गत बॉन्ड प्रदान किया जा सकता है, प्रायः नकद संपार्श्विक, अप्रत्यावर्तनीय साख-पत्र अथवा अन्य प्रतिभूति के साथ। Surety One, Inc. इन दोनों ही कार्यक्रमों को अंडरराइट करता है, तथा अनेक बार उन अ-मानक कार्यक्रमों को भी स्थापित करता है जिन्हें अधिक सीमित बाज़ार करने में असमर्थ रहते हैं।</w:t>
      </w:r>
    </w:p>
    <w:p>
      <w:pPr>
        <w:pStyle w:val="Heading1"/>
        <w:pageBreakBefore/>
        <w:pBdr>
          <w:bottom w:val="single" w:color="B22222" w:sz="12" w:space="4"/>
        </w:pBdr>
        <w:spacing w:after="240" w:before="240"/>
      </w:pPr>
      <w:r>
        <w:rPr>
          <w:rFonts w:ascii="Nirmala UI" w:cs="Nirmala UI" w:eastAsia="Nirmala UI" w:hAnsi="Nirmala UI"/>
          <w:b/>
          <w:bCs/>
          <w:color w:val="B22222"/>
          <w:sz w:val="36"/>
          <w:szCs w:val="36"/>
        </w:rPr>
        <w:t xml:space="preserve">भाग II  —  गतिविधि कोड के अनुसार बॉन्ड वर्ग</w:t>
      </w:r>
    </w:p>
    <w:p>
      <w:pPr>
        <w:spacing w:after="140" w:line="340"/>
        <w:jc w:val="both"/>
      </w:pPr>
      <w:r>
        <w:rPr>
          <w:rFonts w:ascii="Mangal" w:cs="Mangal" w:eastAsia="Mangal" w:hAnsi="Mangal"/>
          <w:color w:val="000000"/>
          <w:sz w:val="22"/>
          <w:szCs w:val="22"/>
        </w:rPr>
        <w:t xml:space="preserve">निम्नांकित अनुभाग CBP द्वारा वर्तमान में सीमा शुल्क बॉन्ड को वर्गीकृत करने के लिए प्रयुक्त प्रत्येक गतिविधि कोड का क्रमवार विवेचन करते हैं — उसी क्रम में जिसमें CBP स्वयं उन्हें Form 301 पर तथा 19 CFR Part 113 की Subpart G “बॉन्ड शर्तें” में सूचीबद्ध करता है। प्रत्येक गतिविधि कोड स्व-निहित संदर्भ के रूप में प्रस्तुत है: बॉन्ड किसके लिए है, यह कैसे जारी होता है, यह क्या प्रत्याभूत करता है, सुसंगत विधिक आधार क्या है, तथा अंडरराइटिंग संबंधी व्यावहारिक टिप्पणियाँ।</w:t>
      </w:r>
    </w:p>
    <w:p>
      <w:pPr>
        <w:spacing w:after="120"/>
      </w:pPr>
      <w:r>
        <w:t xml:space="preserve"/>
      </w:r>
    </w:p>
    <w:p>
      <w:pPr>
        <w:pStyle w:val="Heading2"/>
        <w:spacing w:after="140" w:before="280"/>
      </w:pPr>
      <w:r>
        <w:rPr>
          <w:rFonts w:ascii="Nirmala UI" w:cs="Nirmala UI" w:eastAsia="Nirmala UI" w:hAnsi="Nirmala UI"/>
          <w:b/>
          <w:bCs/>
          <w:color w:val="000000"/>
          <w:sz w:val="28"/>
          <w:szCs w:val="28"/>
        </w:rPr>
        <w:t xml:space="preserve">गतिविधि कोड 1  —  आयातक / सीमा शुल्क दलाल</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B22222" w:sz="4"/>
              <w:left w:val="single" w:color="B22222" w:sz="4"/>
              <w:bottom w:val="single" w:color="B22222" w:sz="4"/>
              <w:right w:val="single" w:color="B22222" w:sz="4"/>
            </w:tcBorders>
            <w:shd w:fill="B22222" w:color="auto" w:val="clear"/>
            <w:tcMar>
              <w:top w:type="dxa" w:w="100"/>
              <w:left w:type="dxa" w:w="140"/>
              <w:bottom w:type="dxa" w:w="100"/>
              <w:right w:type="dxa" w:w="140"/>
            </w:tcMar>
          </w:tcPr>
          <w:p>
            <w:pPr>
              <w:spacing w:after="40" w:before="40"/>
            </w:pPr>
            <w:r>
              <w:rPr>
                <w:rFonts w:ascii="Nirmala UI" w:cs="Nirmala UI" w:eastAsia="Nirmala UI" w:hAnsi="Nirmala UI"/>
                <w:b/>
                <w:bCs/>
                <w:color w:val="FFFFFF"/>
                <w:sz w:val="24"/>
                <w:szCs w:val="24"/>
              </w:rPr>
              <w:t xml:space="preserve">गतिविधि कोड 1  –  </w:t>
            </w:r>
            <w:r>
              <w:rPr>
                <w:rFonts w:ascii="Nirmala UI" w:cs="Nirmala UI" w:eastAsia="Nirmala UI" w:hAnsi="Nirmala UI"/>
                <w:b/>
                <w:bCs/>
                <w:color w:val="FFFFFF"/>
                <w:sz w:val="24"/>
                <w:szCs w:val="24"/>
              </w:rPr>
              <w:t xml:space="preserve">आयातक / दलाल बॉन्ड</w:t>
            </w:r>
          </w:p>
        </w:tc>
      </w:tr>
      <w:tr>
        <w:tc>
          <w:tcPr>
            <w:tcW w:type="dxa" w:w="9360"/>
            <w:tcBorders>
              <w:top w:val="none" w:color="FFFFFF" w:sz="0"/>
              <w:left w:val="single" w:color="B22222" w:sz="4"/>
              <w:bottom w:val="single" w:color="B22222" w:sz="4"/>
              <w:right w:val="single" w:color="B22222" w:sz="4"/>
            </w:tcBorders>
            <w:shd w:fill="F7F1F1" w:color="auto" w:val="clear"/>
            <w:tcMar>
              <w:top w:type="dxa" w:w="100"/>
              <w:left w:type="dxa" w:w="140"/>
              <w:bottom w:type="dxa" w:w="100"/>
              <w:right w:type="dxa" w:w="140"/>
            </w:tcMar>
          </w:tcPr>
          <w:p>
            <w:pPr>
              <w:spacing w:after="30" w:before="30"/>
            </w:pPr>
            <w:r>
              <w:rPr>
                <w:rFonts w:ascii="Nirmala UI" w:cs="Nirmala UI" w:eastAsia="Nirmala UI" w:hAnsi="Nirmala UI"/>
                <w:b/>
                <w:bCs/>
                <w:color w:val="B22222"/>
                <w:sz w:val="20"/>
                <w:szCs w:val="20"/>
              </w:rPr>
              <w:t xml:space="preserve">जारी करने का प्रकार: </w:t>
            </w:r>
            <w:r>
              <w:rPr>
                <w:rFonts w:ascii="Mangal" w:cs="Mangal" w:eastAsia="Mangal" w:hAnsi="Mangal"/>
                <w:color w:val="000000"/>
                <w:sz w:val="20"/>
                <w:szCs w:val="20"/>
              </w:rPr>
              <w:t xml:space="preserve">सतत अथवा एकल-लेन-देन</w:t>
            </w:r>
            <w:r>
              <w:rPr>
                <w:rFonts w:ascii="Mangal" w:cs="Mangal" w:eastAsia="Mangal" w:hAnsi="Mangal"/>
                <w:i/>
                <w:iCs/>
                <w:color w:val="555555"/>
                <w:sz w:val="18"/>
                <w:szCs w:val="18"/>
              </w:rPr>
              <w:t xml:space="preserve">     |     विधिक आधार: 19 CFR § 113.62</w:t>
            </w:r>
          </w:p>
        </w:tc>
      </w:tr>
      <w:tr>
        <w:tc>
          <w:tcPr>
            <w:tcW w:type="dxa" w:w="9360"/>
            <w:tcBorders>
              <w:top w:val="none" w:color="FFFFFF" w:sz="0"/>
              <w:left w:val="single" w:color="B22222" w:sz="4"/>
              <w:bottom w:val="single" w:color="B22222" w:sz="4"/>
              <w:right w:val="single" w:color="B22222" w:sz="4"/>
            </w:tcBorders>
            <w:shd w:fill="FFFFFF" w:color="auto" w:val="clear"/>
            <w:tcMar>
              <w:top w:type="dxa" w:w="100"/>
              <w:left w:type="dxa" w:w="140"/>
              <w:bottom w:type="dxa" w:w="100"/>
              <w:right w:type="dxa" w:w="140"/>
            </w:tcMar>
          </w:tcPr>
          <w:p>
            <w:pPr>
              <w:spacing w:after="60" w:before="40" w:line="330"/>
              <w:jc w:val="both"/>
            </w:pPr>
            <w:r>
              <w:rPr>
                <w:rFonts w:ascii="Mangal" w:cs="Mangal" w:eastAsia="Mangal" w:hAnsi="Mangal"/>
                <w:color w:val="000000"/>
                <w:sz w:val="21"/>
                <w:szCs w:val="21"/>
              </w:rPr>
              <w:t xml:space="preserve">सर्वाधिक सामान्य सीमा शुल्क बॉन्ड। अभिलिखित आयातक (अथवा आयातक की ओर से कार्य करने वाले सीमा शुल्क दलाल) द्वारा जारी किया जाता है। यह शुल्क, करों एवं प्रभारों के भुगतान तथा संयुक्त राज्य अमेरिका में माल के प्रवेश से संबंधित समस्त क़ानूनों एवं विनियमों के अनुपालन की प्रत्याभूति देता है। औपचारिक प्रविष्टि-सीमा से ऊपर के समस्त वाणिज्यिक आयातों के लिए अनिवार्य है, तथा सहयोगी संघीय एजेंसियों (PGA) द्वारा विनियमित माल के लिए मूल्य-अप्रासंगिक रूप से अनिवार्य है।</w:t>
            </w:r>
          </w:p>
          <w:p>
            <w:pPr>
              <w:spacing w:after="60" w:before="40" w:line="330"/>
              <w:jc w:val="both"/>
            </w:pPr>
            <w:r>
              <w:rPr>
                <w:rFonts w:ascii="Mangal" w:cs="Mangal" w:eastAsia="Mangal" w:hAnsi="Mangal"/>
                <w:color w:val="000000"/>
                <w:sz w:val="21"/>
                <w:szCs w:val="21"/>
              </w:rPr>
              <w:t xml:space="preserve">सतत बॉन्ड का परिमाण पूर्व-वर्ष के शुल्क, करों एवं प्रभारों का 10% होता है, न्यूनतम पचास हज़ार डॉलर के अधीन तथा CBP के गोलीकरण-नियमों के अधीन। एकल-लेन-देन बॉन्ड माल के घोषित मूल्य + शुल्क + कर + प्रभार के बराबर होता है; PGA-विनियमित माल पर यह घोषित मूल्य का तीन गुना हो जाता है।</w:t>
            </w:r>
          </w:p>
          <w:p>
            <w:pPr>
              <w:spacing w:after="60" w:before="40" w:line="330"/>
              <w:jc w:val="both"/>
            </w:pPr>
            <w:r>
              <w:rPr>
                <w:rFonts w:ascii="Mangal" w:cs="Mangal" w:eastAsia="Mangal" w:hAnsi="Mangal"/>
                <w:color w:val="000000"/>
                <w:sz w:val="21"/>
                <w:szCs w:val="21"/>
              </w:rPr>
              <w:t xml:space="preserve">व्यावहारिक टिप्पणी: सतत कोड 1 बॉन्ड समुद्री खेप पर “Importer Security Filing (ISF / 10+2)” के दायित्व को भी अंतर्निहित रूप से पूरा करता है, अतएव उस परिदृश्य में पृथक् कोड 16 बॉन्ड की आवश्यकता नहीं होती।</w:t>
            </w:r>
          </w:p>
        </w:tc>
      </w:tr>
    </w:tbl>
    <w:p>
      <w:pPr>
        <w:pStyle w:val="Heading2"/>
        <w:spacing w:after="140" w:before="280"/>
      </w:pPr>
      <w:r>
        <w:rPr>
          <w:rFonts w:ascii="Nirmala UI" w:cs="Nirmala UI" w:eastAsia="Nirmala UI" w:hAnsi="Nirmala UI"/>
          <w:b/>
          <w:bCs/>
          <w:color w:val="000000"/>
          <w:sz w:val="28"/>
          <w:szCs w:val="28"/>
        </w:rPr>
        <w:t xml:space="preserve">गतिविधि कोड 1A  —  Drawback त्वरित धन-वापसी</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B22222" w:sz="4"/>
              <w:left w:val="single" w:color="B22222" w:sz="4"/>
              <w:bottom w:val="single" w:color="B22222" w:sz="4"/>
              <w:right w:val="single" w:color="B22222" w:sz="4"/>
            </w:tcBorders>
            <w:shd w:fill="B22222" w:color="auto" w:val="clear"/>
            <w:tcMar>
              <w:top w:type="dxa" w:w="100"/>
              <w:left w:type="dxa" w:w="140"/>
              <w:bottom w:type="dxa" w:w="100"/>
              <w:right w:type="dxa" w:w="140"/>
            </w:tcMar>
          </w:tcPr>
          <w:p>
            <w:pPr>
              <w:spacing w:after="40" w:before="40"/>
            </w:pPr>
            <w:r>
              <w:rPr>
                <w:rFonts w:ascii="Nirmala UI" w:cs="Nirmala UI" w:eastAsia="Nirmala UI" w:hAnsi="Nirmala UI"/>
                <w:b/>
                <w:bCs/>
                <w:color w:val="FFFFFF"/>
                <w:sz w:val="24"/>
                <w:szCs w:val="24"/>
              </w:rPr>
              <w:t xml:space="preserve">गतिविधि कोड 1A  –  </w:t>
            </w:r>
            <w:r>
              <w:rPr>
                <w:rFonts w:ascii="Nirmala UI" w:cs="Nirmala UI" w:eastAsia="Nirmala UI" w:hAnsi="Nirmala UI"/>
                <w:b/>
                <w:bCs/>
                <w:color w:val="FFFFFF"/>
                <w:sz w:val="24"/>
                <w:szCs w:val="24"/>
              </w:rPr>
              <w:t xml:space="preserve">Drawback त्वरित धन-वापसी बॉन्ड</w:t>
            </w:r>
          </w:p>
        </w:tc>
      </w:tr>
      <w:tr>
        <w:tc>
          <w:tcPr>
            <w:tcW w:type="dxa" w:w="9360"/>
            <w:tcBorders>
              <w:top w:val="none" w:color="FFFFFF" w:sz="0"/>
              <w:left w:val="single" w:color="B22222" w:sz="4"/>
              <w:bottom w:val="single" w:color="B22222" w:sz="4"/>
              <w:right w:val="single" w:color="B22222" w:sz="4"/>
            </w:tcBorders>
            <w:shd w:fill="F7F1F1" w:color="auto" w:val="clear"/>
            <w:tcMar>
              <w:top w:type="dxa" w:w="100"/>
              <w:left w:type="dxa" w:w="140"/>
              <w:bottom w:type="dxa" w:w="100"/>
              <w:right w:type="dxa" w:w="140"/>
            </w:tcMar>
          </w:tcPr>
          <w:p>
            <w:pPr>
              <w:spacing w:after="30" w:before="30"/>
            </w:pPr>
            <w:r>
              <w:rPr>
                <w:rFonts w:ascii="Nirmala UI" w:cs="Nirmala UI" w:eastAsia="Nirmala UI" w:hAnsi="Nirmala UI"/>
                <w:b/>
                <w:bCs/>
                <w:color w:val="B22222"/>
                <w:sz w:val="20"/>
                <w:szCs w:val="20"/>
              </w:rPr>
              <w:t xml:space="preserve">जारी करने का प्रकार: </w:t>
            </w:r>
            <w:r>
              <w:rPr>
                <w:rFonts w:ascii="Mangal" w:cs="Mangal" w:eastAsia="Mangal" w:hAnsi="Mangal"/>
                <w:color w:val="000000"/>
                <w:sz w:val="20"/>
                <w:szCs w:val="20"/>
              </w:rPr>
              <w:t xml:space="preserve">सतत अथवा एकल-लेन-देन</w:t>
            </w:r>
            <w:r>
              <w:rPr>
                <w:rFonts w:ascii="Mangal" w:cs="Mangal" w:eastAsia="Mangal" w:hAnsi="Mangal"/>
                <w:i/>
                <w:iCs/>
                <w:color w:val="555555"/>
                <w:sz w:val="18"/>
                <w:szCs w:val="18"/>
              </w:rPr>
              <w:t xml:space="preserve">     |     विधिक आधार: 19 CFR § 113.65</w:t>
            </w:r>
          </w:p>
        </w:tc>
      </w:tr>
      <w:tr>
        <w:tc>
          <w:tcPr>
            <w:tcW w:type="dxa" w:w="9360"/>
            <w:tcBorders>
              <w:top w:val="none" w:color="FFFFFF" w:sz="0"/>
              <w:left w:val="single" w:color="B22222" w:sz="4"/>
              <w:bottom w:val="single" w:color="B22222" w:sz="4"/>
              <w:right w:val="single" w:color="B22222" w:sz="4"/>
            </w:tcBorders>
            <w:shd w:fill="FFFFFF" w:color="auto" w:val="clear"/>
            <w:tcMar>
              <w:top w:type="dxa" w:w="100"/>
              <w:left w:type="dxa" w:w="140"/>
              <w:bottom w:type="dxa" w:w="100"/>
              <w:right w:type="dxa" w:w="140"/>
            </w:tcMar>
          </w:tcPr>
          <w:p>
            <w:pPr>
              <w:spacing w:after="60" w:before="40" w:line="330"/>
              <w:jc w:val="both"/>
            </w:pPr>
            <w:r>
              <w:rPr>
                <w:rFonts w:ascii="Mangal" w:cs="Mangal" w:eastAsia="Mangal" w:hAnsi="Mangal"/>
                <w:color w:val="000000"/>
                <w:sz w:val="21"/>
                <w:szCs w:val="21"/>
              </w:rPr>
              <w:t xml:space="preserve">ऐसे drawback दावेदार द्वारा जारी किया जाता है जो CBP द्वारा अंतर्निहित दावे की अंतिम परिनिर्धारण से पूर्व ही त्वरित आधार पर रिफंड प्राप्त करना चाहता है। यह बॉन्ड CBP को इस बात की प्रत्याभूति देता है कि परिनिर्धारण के पश्चात् यदि कोई अधिशेष-भुगतान सिद्ध होता है, तो वह राशि CBP को लौटा दी जाएगी।</w:t>
            </w:r>
          </w:p>
          <w:p>
            <w:pPr>
              <w:spacing w:after="60" w:before="40" w:line="330"/>
              <w:jc w:val="both"/>
            </w:pPr>
            <w:r>
              <w:rPr>
                <w:rFonts w:ascii="Mangal" w:cs="Mangal" w:eastAsia="Mangal" w:hAnsi="Mangal"/>
                <w:color w:val="000000"/>
                <w:sz w:val="21"/>
                <w:szCs w:val="21"/>
              </w:rPr>
              <w:t xml:space="preserve">सतत बॉन्ड का न्यूनतम पचास हज़ार डॉलर है, तथा परिमाण अवधि-अंतर्गत अनुमानित त्वरित drawback से जुड़ा रहता है। एकल-लेन-देन बॉन्ड का न्यूनतम एक सौ डॉलर है तथा यह विशिष्ट दावे से जुड़ा होता है।</w:t>
            </w:r>
          </w:p>
          <w:p>
            <w:pPr>
              <w:spacing w:after="60" w:before="40" w:line="330"/>
              <w:jc w:val="both"/>
            </w:pPr>
            <w:r>
              <w:rPr>
                <w:rFonts w:ascii="Mangal" w:cs="Mangal" w:eastAsia="Mangal" w:hAnsi="Mangal"/>
                <w:color w:val="000000"/>
                <w:sz w:val="21"/>
                <w:szCs w:val="21"/>
              </w:rPr>
              <w:t xml:space="preserve">व्यावहारिक टिप्पणी: Learning Resources-पश्चात् धन-वापसी चक्र के सक्रिय होने से drawback गतिविधि में वृद्धि अनुमानित है, अतएव परिमाणन को विगत 12 माह के आधार पर देखने के स्थान पर आगामी प्रक्षेपण के आधार पर देखा जाना चाहिए।</w:t>
            </w:r>
          </w:p>
        </w:tc>
      </w:tr>
    </w:tbl>
    <w:p>
      <w:pPr>
        <w:pStyle w:val="Heading2"/>
        <w:spacing w:after="140" w:before="280"/>
      </w:pPr>
      <w:r>
        <w:rPr>
          <w:rFonts w:ascii="Nirmala UI" w:cs="Nirmala UI" w:eastAsia="Nirmala UI" w:hAnsi="Nirmala UI"/>
          <w:b/>
          <w:bCs/>
          <w:color w:val="000000"/>
          <w:sz w:val="28"/>
          <w:szCs w:val="28"/>
        </w:rPr>
        <w:t xml:space="preserve">गतिविधि कोड 2  —  बंधक माल के संरक्षक</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B22222" w:sz="4"/>
              <w:left w:val="single" w:color="B22222" w:sz="4"/>
              <w:bottom w:val="single" w:color="B22222" w:sz="4"/>
              <w:right w:val="single" w:color="B22222" w:sz="4"/>
            </w:tcBorders>
            <w:shd w:fill="B22222" w:color="auto" w:val="clear"/>
            <w:tcMar>
              <w:top w:type="dxa" w:w="100"/>
              <w:left w:type="dxa" w:w="140"/>
              <w:bottom w:type="dxa" w:w="100"/>
              <w:right w:type="dxa" w:w="140"/>
            </w:tcMar>
          </w:tcPr>
          <w:p>
            <w:pPr>
              <w:spacing w:after="40" w:before="40"/>
            </w:pPr>
            <w:r>
              <w:rPr>
                <w:rFonts w:ascii="Nirmala UI" w:cs="Nirmala UI" w:eastAsia="Nirmala UI" w:hAnsi="Nirmala UI"/>
                <w:b/>
                <w:bCs/>
                <w:color w:val="FFFFFF"/>
                <w:sz w:val="24"/>
                <w:szCs w:val="24"/>
              </w:rPr>
              <w:t xml:space="preserve">गतिविधि कोड 2  –  </w:t>
            </w:r>
            <w:r>
              <w:rPr>
                <w:rFonts w:ascii="Nirmala UI" w:cs="Nirmala UI" w:eastAsia="Nirmala UI" w:hAnsi="Nirmala UI"/>
                <w:b/>
                <w:bCs/>
                <w:color w:val="FFFFFF"/>
                <w:sz w:val="24"/>
                <w:szCs w:val="24"/>
              </w:rPr>
              <w:t xml:space="preserve">बंधक माल संरक्षक बॉन्ड</w:t>
            </w:r>
          </w:p>
        </w:tc>
      </w:tr>
      <w:tr>
        <w:tc>
          <w:tcPr>
            <w:tcW w:type="dxa" w:w="9360"/>
            <w:tcBorders>
              <w:top w:val="none" w:color="FFFFFF" w:sz="0"/>
              <w:left w:val="single" w:color="B22222" w:sz="4"/>
              <w:bottom w:val="single" w:color="B22222" w:sz="4"/>
              <w:right w:val="single" w:color="B22222" w:sz="4"/>
            </w:tcBorders>
            <w:shd w:fill="F7F1F1" w:color="auto" w:val="clear"/>
            <w:tcMar>
              <w:top w:type="dxa" w:w="100"/>
              <w:left w:type="dxa" w:w="140"/>
              <w:bottom w:type="dxa" w:w="100"/>
              <w:right w:type="dxa" w:w="140"/>
            </w:tcMar>
          </w:tcPr>
          <w:p>
            <w:pPr>
              <w:spacing w:after="30" w:before="30"/>
            </w:pPr>
            <w:r>
              <w:rPr>
                <w:rFonts w:ascii="Nirmala UI" w:cs="Nirmala UI" w:eastAsia="Nirmala UI" w:hAnsi="Nirmala UI"/>
                <w:b/>
                <w:bCs/>
                <w:color w:val="B22222"/>
                <w:sz w:val="20"/>
                <w:szCs w:val="20"/>
              </w:rPr>
              <w:t xml:space="preserve">जारी करने का प्रकार: </w:t>
            </w:r>
            <w:r>
              <w:rPr>
                <w:rFonts w:ascii="Mangal" w:cs="Mangal" w:eastAsia="Mangal" w:hAnsi="Mangal"/>
                <w:color w:val="000000"/>
                <w:sz w:val="20"/>
                <w:szCs w:val="20"/>
              </w:rPr>
              <w:t xml:space="preserve">केवल सतत</w:t>
            </w:r>
            <w:r>
              <w:rPr>
                <w:rFonts w:ascii="Mangal" w:cs="Mangal" w:eastAsia="Mangal" w:hAnsi="Mangal"/>
                <w:i/>
                <w:iCs/>
                <w:color w:val="555555"/>
                <w:sz w:val="18"/>
                <w:szCs w:val="18"/>
              </w:rPr>
              <w:t xml:space="preserve">     |     विधिक आधार: 19 CFR § 113.63</w:t>
            </w:r>
          </w:p>
        </w:tc>
      </w:tr>
      <w:tr>
        <w:tc>
          <w:tcPr>
            <w:tcW w:type="dxa" w:w="9360"/>
            <w:tcBorders>
              <w:top w:val="none" w:color="FFFFFF" w:sz="0"/>
              <w:left w:val="single" w:color="B22222" w:sz="4"/>
              <w:bottom w:val="single" w:color="B22222" w:sz="4"/>
              <w:right w:val="single" w:color="B22222" w:sz="4"/>
            </w:tcBorders>
            <w:shd w:fill="FFFFFF" w:color="auto" w:val="clear"/>
            <w:tcMar>
              <w:top w:type="dxa" w:w="100"/>
              <w:left w:type="dxa" w:w="140"/>
              <w:bottom w:type="dxa" w:w="100"/>
              <w:right w:type="dxa" w:w="140"/>
            </w:tcMar>
          </w:tcPr>
          <w:p>
            <w:pPr>
              <w:spacing w:after="60" w:before="40" w:line="330"/>
              <w:jc w:val="both"/>
            </w:pPr>
            <w:r>
              <w:rPr>
                <w:rFonts w:ascii="Mangal" w:cs="Mangal" w:eastAsia="Mangal" w:hAnsi="Mangal"/>
                <w:color w:val="000000"/>
                <w:sz w:val="21"/>
                <w:szCs w:val="21"/>
              </w:rPr>
              <w:t xml:space="preserve">एकल समग्र सतत बॉन्ड जो विभिन्न संरक्षण-दायित्वों को आच्छादित करता है: प्रत्येक श्रेणी के बंधक गोदाम-संचालक, बंदरगाह-से-बंदरगाह in-bond संचलन में लगे घरेलू सामान्य परिवाहक, बंदरगाह-परिक्षेत्र में बंधक माल का परिवहन करने वाले कार्टमैन तथा लाइटरमैन, कंटेनर माल-स्टेशन संचालक, तथा केंद्रीकृत निरीक्षण स्टेशन संचालक। इन सभी वर्गों का प्रत्याभूति-दायित्व समान है: जो माल CBP द्वारा अमेरिकी वाणिज्य में निर्गत नहीं किया गया है, उसकी सुरक्षित अभिरक्षा।</w:t>
            </w:r>
          </w:p>
          <w:p>
            <w:pPr>
              <w:spacing w:after="60" w:before="40" w:line="330"/>
              <w:jc w:val="both"/>
            </w:pPr>
            <w:r>
              <w:rPr>
                <w:rFonts w:ascii="Mangal" w:cs="Mangal" w:eastAsia="Mangal" w:hAnsi="Mangal"/>
                <w:color w:val="000000"/>
                <w:sz w:val="21"/>
                <w:szCs w:val="21"/>
              </w:rPr>
              <w:t xml:space="preserve">न्यूनतम राशि पच्चीस हज़ार डॉलर है, जो भंडार-अनावरण तथा CBP के निर्देशन के अनुसार ऊपर समायोजित की जा सकती है। यह केवल सतत है; एकल-लेन-देन का विकल्प उपलब्ध नहीं।</w:t>
            </w:r>
          </w:p>
          <w:p>
            <w:pPr>
              <w:spacing w:after="60" w:before="40" w:line="330"/>
              <w:jc w:val="both"/>
            </w:pPr>
            <w:r>
              <w:rPr>
                <w:rFonts w:ascii="Mangal" w:cs="Mangal" w:eastAsia="Mangal" w:hAnsi="Mangal"/>
                <w:color w:val="000000"/>
                <w:sz w:val="21"/>
                <w:szCs w:val="21"/>
              </w:rPr>
              <w:t xml:space="preserve">व्यावहारिक टिप्पणी: जो आयातक अपने ही बंधक माल को अपनी ही सुविधाओं के मध्य संचालित करते हैं, उन्हें कोड 1 आयातक बॉन्ड के अतिरिक्त कोड 2 बॉन्ड भी जारी कराना होगा।</w:t>
            </w:r>
          </w:p>
        </w:tc>
      </w:tr>
    </w:tbl>
    <w:p>
      <w:pPr>
        <w:pStyle w:val="Heading2"/>
        <w:spacing w:after="140" w:before="280"/>
      </w:pPr>
      <w:r>
        <w:rPr>
          <w:rFonts w:ascii="Nirmala UI" w:cs="Nirmala UI" w:eastAsia="Nirmala UI" w:hAnsi="Nirmala UI"/>
          <w:b/>
          <w:bCs/>
          <w:color w:val="000000"/>
          <w:sz w:val="28"/>
          <w:szCs w:val="28"/>
        </w:rPr>
        <w:t xml:space="preserve">गतिविधि कोड 3  —  अंतरराष्ट्रीय परिवाहक</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B22222" w:sz="4"/>
              <w:left w:val="single" w:color="B22222" w:sz="4"/>
              <w:bottom w:val="single" w:color="B22222" w:sz="4"/>
              <w:right w:val="single" w:color="B22222" w:sz="4"/>
            </w:tcBorders>
            <w:shd w:fill="B22222" w:color="auto" w:val="clear"/>
            <w:tcMar>
              <w:top w:type="dxa" w:w="100"/>
              <w:left w:type="dxa" w:w="140"/>
              <w:bottom w:type="dxa" w:w="100"/>
              <w:right w:type="dxa" w:w="140"/>
            </w:tcMar>
          </w:tcPr>
          <w:p>
            <w:pPr>
              <w:spacing w:after="40" w:before="40"/>
            </w:pPr>
            <w:r>
              <w:rPr>
                <w:rFonts w:ascii="Nirmala UI" w:cs="Nirmala UI" w:eastAsia="Nirmala UI" w:hAnsi="Nirmala UI"/>
                <w:b/>
                <w:bCs/>
                <w:color w:val="FFFFFF"/>
                <w:sz w:val="24"/>
                <w:szCs w:val="24"/>
              </w:rPr>
              <w:t xml:space="preserve">गतिविधि कोड 3  –  </w:t>
            </w:r>
            <w:r>
              <w:rPr>
                <w:rFonts w:ascii="Nirmala UI" w:cs="Nirmala UI" w:eastAsia="Nirmala UI" w:hAnsi="Nirmala UI"/>
                <w:b/>
                <w:bCs/>
                <w:color w:val="FFFFFF"/>
                <w:sz w:val="24"/>
                <w:szCs w:val="24"/>
              </w:rPr>
              <w:t xml:space="preserve">अंतरराष्ट्रीय परिवाहक बॉन्ड</w:t>
            </w:r>
          </w:p>
        </w:tc>
      </w:tr>
      <w:tr>
        <w:tc>
          <w:tcPr>
            <w:tcW w:type="dxa" w:w="9360"/>
            <w:tcBorders>
              <w:top w:val="none" w:color="FFFFFF" w:sz="0"/>
              <w:left w:val="single" w:color="B22222" w:sz="4"/>
              <w:bottom w:val="single" w:color="B22222" w:sz="4"/>
              <w:right w:val="single" w:color="B22222" w:sz="4"/>
            </w:tcBorders>
            <w:shd w:fill="F7F1F1" w:color="auto" w:val="clear"/>
            <w:tcMar>
              <w:top w:type="dxa" w:w="100"/>
              <w:left w:type="dxa" w:w="140"/>
              <w:bottom w:type="dxa" w:w="100"/>
              <w:right w:type="dxa" w:w="140"/>
            </w:tcMar>
          </w:tcPr>
          <w:p>
            <w:pPr>
              <w:spacing w:after="30" w:before="30"/>
            </w:pPr>
            <w:r>
              <w:rPr>
                <w:rFonts w:ascii="Nirmala UI" w:cs="Nirmala UI" w:eastAsia="Nirmala UI" w:hAnsi="Nirmala UI"/>
                <w:b/>
                <w:bCs/>
                <w:color w:val="B22222"/>
                <w:sz w:val="20"/>
                <w:szCs w:val="20"/>
              </w:rPr>
              <w:t xml:space="preserve">जारी करने का प्रकार: </w:t>
            </w:r>
            <w:r>
              <w:rPr>
                <w:rFonts w:ascii="Mangal" w:cs="Mangal" w:eastAsia="Mangal" w:hAnsi="Mangal"/>
                <w:color w:val="000000"/>
                <w:sz w:val="20"/>
                <w:szCs w:val="20"/>
              </w:rPr>
              <w:t xml:space="preserve">सतत अथवा एकल-लेन-देन</w:t>
            </w:r>
            <w:r>
              <w:rPr>
                <w:rFonts w:ascii="Mangal" w:cs="Mangal" w:eastAsia="Mangal" w:hAnsi="Mangal"/>
                <w:i/>
                <w:iCs/>
                <w:color w:val="555555"/>
                <w:sz w:val="18"/>
                <w:szCs w:val="18"/>
              </w:rPr>
              <w:t xml:space="preserve">     |     विधिक आधार: 19 CFR § 113.64</w:t>
            </w:r>
          </w:p>
        </w:tc>
      </w:tr>
      <w:tr>
        <w:tc>
          <w:tcPr>
            <w:tcW w:type="dxa" w:w="9360"/>
            <w:tcBorders>
              <w:top w:val="none" w:color="FFFFFF" w:sz="0"/>
              <w:left w:val="single" w:color="B22222" w:sz="4"/>
              <w:bottom w:val="single" w:color="B22222" w:sz="4"/>
              <w:right w:val="single" w:color="B22222" w:sz="4"/>
            </w:tcBorders>
            <w:shd w:fill="FFFFFF" w:color="auto" w:val="clear"/>
            <w:tcMar>
              <w:top w:type="dxa" w:w="100"/>
              <w:left w:type="dxa" w:w="140"/>
              <w:bottom w:type="dxa" w:w="100"/>
              <w:right w:type="dxa" w:w="140"/>
            </w:tcMar>
          </w:tcPr>
          <w:p>
            <w:pPr>
              <w:spacing w:after="60" w:before="40" w:line="330"/>
              <w:jc w:val="both"/>
            </w:pPr>
            <w:r>
              <w:rPr>
                <w:rFonts w:ascii="Mangal" w:cs="Mangal" w:eastAsia="Mangal" w:hAnsi="Mangal"/>
                <w:color w:val="000000"/>
                <w:sz w:val="21"/>
                <w:szCs w:val="21"/>
              </w:rPr>
              <w:t xml:space="preserve">अमेरिकी सीमा शुल्क-क्षेत्र के बाहर से अमेरिका पहुँचने वाले जहाज़ों, विमानों एवं अन्य परिवाहन-साधनों के संचालकों द्वारा जारी किया जाता है। यह बॉन्ड माल एवं चालक-दल की शुद्ध मेनिफ़ेस्ट-घोषणा, CBP अधिकारियों की ओवरटाइम सेवा-शुल्क, अग्रिम मेनिफ़ेस्ट दायित्व (NVOCC अग्रिम मेनिफ़ेस्ट सहित), तथा परिवाहन-साधन की निकासी से संबंधित समस्त CBP विनियमों के अनुपालन की प्रत्याभूति देता है।</w:t>
            </w:r>
          </w:p>
          <w:p>
            <w:pPr>
              <w:spacing w:after="60" w:before="40" w:line="330"/>
              <w:jc w:val="both"/>
            </w:pPr>
            <w:r>
              <w:rPr>
                <w:rFonts w:ascii="Mangal" w:cs="Mangal" w:eastAsia="Mangal" w:hAnsi="Mangal"/>
                <w:color w:val="000000"/>
                <w:sz w:val="21"/>
                <w:szCs w:val="21"/>
              </w:rPr>
              <w:t xml:space="preserve">न्यूनतम परिवाहन-साधन की श्रेणी के अनुसार भिन्न होते हैं: जहाज़, विमान तथा भू-परिवाहक — प्रत्येक का अपना परिमाणन-कोष्ठक CBP के निर्देशन में दिया गया है।</w:t>
            </w:r>
          </w:p>
        </w:tc>
      </w:tr>
    </w:tbl>
    <w:p>
      <w:pPr>
        <w:pStyle w:val="Heading2"/>
        <w:spacing w:after="140" w:before="280"/>
      </w:pPr>
      <w:r>
        <w:rPr>
          <w:rFonts w:ascii="Nirmala UI" w:cs="Nirmala UI" w:eastAsia="Nirmala UI" w:hAnsi="Nirmala UI"/>
          <w:b/>
          <w:bCs/>
          <w:color w:val="000000"/>
          <w:sz w:val="28"/>
          <w:szCs w:val="28"/>
        </w:rPr>
        <w:t xml:space="preserve">गतिविधि कोड 3A  —  अंतरराष्ट्रीय परिवहन उपकरण</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B22222" w:sz="4"/>
              <w:left w:val="single" w:color="B22222" w:sz="4"/>
              <w:bottom w:val="single" w:color="B22222" w:sz="4"/>
              <w:right w:val="single" w:color="B22222" w:sz="4"/>
            </w:tcBorders>
            <w:shd w:fill="B22222" w:color="auto" w:val="clear"/>
            <w:tcMar>
              <w:top w:type="dxa" w:w="100"/>
              <w:left w:type="dxa" w:w="140"/>
              <w:bottom w:type="dxa" w:w="100"/>
              <w:right w:type="dxa" w:w="140"/>
            </w:tcMar>
          </w:tcPr>
          <w:p>
            <w:pPr>
              <w:spacing w:after="40" w:before="40"/>
            </w:pPr>
            <w:r>
              <w:rPr>
                <w:rFonts w:ascii="Nirmala UI" w:cs="Nirmala UI" w:eastAsia="Nirmala UI" w:hAnsi="Nirmala UI"/>
                <w:b/>
                <w:bCs/>
                <w:color w:val="FFFFFF"/>
                <w:sz w:val="24"/>
                <w:szCs w:val="24"/>
              </w:rPr>
              <w:t xml:space="preserve">गतिविधि कोड 3A  –  </w:t>
            </w:r>
            <w:r>
              <w:rPr>
                <w:rFonts w:ascii="Nirmala UI" w:cs="Nirmala UI" w:eastAsia="Nirmala UI" w:hAnsi="Nirmala UI"/>
                <w:b/>
                <w:bCs/>
                <w:color w:val="FFFFFF"/>
                <w:sz w:val="24"/>
                <w:szCs w:val="24"/>
              </w:rPr>
              <w:t xml:space="preserve">अंतरराष्ट्रीय परिवहन उपकरण बॉन्ड</w:t>
            </w:r>
          </w:p>
        </w:tc>
      </w:tr>
      <w:tr>
        <w:tc>
          <w:tcPr>
            <w:tcW w:type="dxa" w:w="9360"/>
            <w:tcBorders>
              <w:top w:val="none" w:color="FFFFFF" w:sz="0"/>
              <w:left w:val="single" w:color="B22222" w:sz="4"/>
              <w:bottom w:val="single" w:color="B22222" w:sz="4"/>
              <w:right w:val="single" w:color="B22222" w:sz="4"/>
            </w:tcBorders>
            <w:shd w:fill="F7F1F1" w:color="auto" w:val="clear"/>
            <w:tcMar>
              <w:top w:type="dxa" w:w="100"/>
              <w:left w:type="dxa" w:w="140"/>
              <w:bottom w:type="dxa" w:w="100"/>
              <w:right w:type="dxa" w:w="140"/>
            </w:tcMar>
          </w:tcPr>
          <w:p>
            <w:pPr>
              <w:spacing w:after="30" w:before="30"/>
            </w:pPr>
            <w:r>
              <w:rPr>
                <w:rFonts w:ascii="Nirmala UI" w:cs="Nirmala UI" w:eastAsia="Nirmala UI" w:hAnsi="Nirmala UI"/>
                <w:b/>
                <w:bCs/>
                <w:color w:val="B22222"/>
                <w:sz w:val="20"/>
                <w:szCs w:val="20"/>
              </w:rPr>
              <w:t xml:space="preserve">जारी करने का प्रकार: </w:t>
            </w:r>
            <w:r>
              <w:rPr>
                <w:rFonts w:ascii="Mangal" w:cs="Mangal" w:eastAsia="Mangal" w:hAnsi="Mangal"/>
                <w:color w:val="000000"/>
                <w:sz w:val="20"/>
                <w:szCs w:val="20"/>
              </w:rPr>
              <w:t xml:space="preserve">सतत अथवा एकल-लेन-देन (कोड 3 के साथ संयोजित हो सकता है)</w:t>
            </w:r>
            <w:r>
              <w:rPr>
                <w:rFonts w:ascii="Mangal" w:cs="Mangal" w:eastAsia="Mangal" w:hAnsi="Mangal"/>
                <w:i/>
                <w:iCs/>
                <w:color w:val="555555"/>
                <w:sz w:val="18"/>
                <w:szCs w:val="18"/>
              </w:rPr>
              <w:t xml:space="preserve">     |     विधिक आधार: 19 CFR § 113.66</w:t>
            </w:r>
          </w:p>
        </w:tc>
      </w:tr>
      <w:tr>
        <w:tc>
          <w:tcPr>
            <w:tcW w:type="dxa" w:w="9360"/>
            <w:tcBorders>
              <w:top w:val="none" w:color="FFFFFF" w:sz="0"/>
              <w:left w:val="single" w:color="B22222" w:sz="4"/>
              <w:bottom w:val="single" w:color="B22222" w:sz="4"/>
              <w:right w:val="single" w:color="B22222" w:sz="4"/>
            </w:tcBorders>
            <w:shd w:fill="FFFFFF" w:color="auto" w:val="clear"/>
            <w:tcMar>
              <w:top w:type="dxa" w:w="100"/>
              <w:left w:type="dxa" w:w="140"/>
              <w:bottom w:type="dxa" w:w="100"/>
              <w:right w:type="dxa" w:w="140"/>
            </w:tcMar>
          </w:tcPr>
          <w:p>
            <w:pPr>
              <w:spacing w:after="60" w:before="40" w:line="330"/>
              <w:jc w:val="both"/>
            </w:pPr>
            <w:r>
              <w:rPr>
                <w:rFonts w:ascii="Mangal" w:cs="Mangal" w:eastAsia="Mangal" w:hAnsi="Mangal"/>
                <w:color w:val="000000"/>
                <w:sz w:val="21"/>
                <w:szCs w:val="21"/>
              </w:rPr>
              <w:t xml:space="preserve">कंटेनर, लिफ़्ट-वैन, कार्गो-वैन, परिवहन टैंक, पैलेट तथा समान पुनःप्रयोज्य अंतरराष्ट्रीय परिवहन उपकरणों के सीमा-पार आवागमन एवं निर्गमन को आच्छादित करता है, जिन्हें औपचारिक प्रविष्टि अथवा शुल्क-भुगतान की आवश्यकता नहीं होती। इस बॉन्ड के बिना अमेरिका में प्रवेश करने वाले प्रत्येक कंटेनर अथवा पैलेट को स्वयं औपचारिक प्रविष्टि कराकर शुल्क देना पड़ता।</w:t>
            </w:r>
          </w:p>
          <w:p>
            <w:pPr>
              <w:spacing w:after="60" w:before="40" w:line="330"/>
              <w:jc w:val="both"/>
            </w:pPr>
            <w:r>
              <w:rPr>
                <w:rFonts w:ascii="Mangal" w:cs="Mangal" w:eastAsia="Mangal" w:hAnsi="Mangal"/>
                <w:color w:val="000000"/>
                <w:sz w:val="21"/>
                <w:szCs w:val="21"/>
              </w:rPr>
              <w:t xml:space="preserve">CBP Form 301 पर कोड 3A वह एकमात्र बॉक्स है जिसे स्वतंत्र रूप से अथवा कोड 3 के साथ संयुक्त रूप से चिह्नित किया जा सकता है — परिवाहक अधिकांशतः संयुक्त प्रस्तुति का चुनाव करते हैं।</w:t>
            </w:r>
          </w:p>
        </w:tc>
      </w:tr>
    </w:tbl>
    <w:p>
      <w:pPr>
        <w:pStyle w:val="Heading2"/>
        <w:spacing w:after="140" w:before="280"/>
      </w:pPr>
      <w:r>
        <w:rPr>
          <w:rFonts w:ascii="Nirmala UI" w:cs="Nirmala UI" w:eastAsia="Nirmala UI" w:hAnsi="Nirmala UI"/>
          <w:b/>
          <w:bCs/>
          <w:color w:val="000000"/>
          <w:sz w:val="28"/>
          <w:szCs w:val="28"/>
        </w:rPr>
        <w:t xml:space="preserve">गतिविधि कोड 4  —  विदेशी व्यापार क्षेत्र (FTZ) संचालक</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B22222" w:sz="4"/>
              <w:left w:val="single" w:color="B22222" w:sz="4"/>
              <w:bottom w:val="single" w:color="B22222" w:sz="4"/>
              <w:right w:val="single" w:color="B22222" w:sz="4"/>
            </w:tcBorders>
            <w:shd w:fill="B22222" w:color="auto" w:val="clear"/>
            <w:tcMar>
              <w:top w:type="dxa" w:w="100"/>
              <w:left w:type="dxa" w:w="140"/>
              <w:bottom w:type="dxa" w:w="100"/>
              <w:right w:type="dxa" w:w="140"/>
            </w:tcMar>
          </w:tcPr>
          <w:p>
            <w:pPr>
              <w:spacing w:after="40" w:before="40"/>
            </w:pPr>
            <w:r>
              <w:rPr>
                <w:rFonts w:ascii="Nirmala UI" w:cs="Nirmala UI" w:eastAsia="Nirmala UI" w:hAnsi="Nirmala UI"/>
                <w:b/>
                <w:bCs/>
                <w:color w:val="FFFFFF"/>
                <w:sz w:val="24"/>
                <w:szCs w:val="24"/>
              </w:rPr>
              <w:t xml:space="preserve">गतिविधि कोड 4  –  </w:t>
            </w:r>
            <w:r>
              <w:rPr>
                <w:rFonts w:ascii="Nirmala UI" w:cs="Nirmala UI" w:eastAsia="Nirmala UI" w:hAnsi="Nirmala UI"/>
                <w:b/>
                <w:bCs/>
                <w:color w:val="FFFFFF"/>
                <w:sz w:val="24"/>
                <w:szCs w:val="24"/>
              </w:rPr>
              <w:t xml:space="preserve">FTZ संचालक बॉन्ड</w:t>
            </w:r>
          </w:p>
        </w:tc>
      </w:tr>
      <w:tr>
        <w:tc>
          <w:tcPr>
            <w:tcW w:type="dxa" w:w="9360"/>
            <w:tcBorders>
              <w:top w:val="none" w:color="FFFFFF" w:sz="0"/>
              <w:left w:val="single" w:color="B22222" w:sz="4"/>
              <w:bottom w:val="single" w:color="B22222" w:sz="4"/>
              <w:right w:val="single" w:color="B22222" w:sz="4"/>
            </w:tcBorders>
            <w:shd w:fill="F7F1F1" w:color="auto" w:val="clear"/>
            <w:tcMar>
              <w:top w:type="dxa" w:w="100"/>
              <w:left w:type="dxa" w:w="140"/>
              <w:bottom w:type="dxa" w:w="100"/>
              <w:right w:type="dxa" w:w="140"/>
            </w:tcMar>
          </w:tcPr>
          <w:p>
            <w:pPr>
              <w:spacing w:after="30" w:before="30"/>
            </w:pPr>
            <w:r>
              <w:rPr>
                <w:rFonts w:ascii="Nirmala UI" w:cs="Nirmala UI" w:eastAsia="Nirmala UI" w:hAnsi="Nirmala UI"/>
                <w:b/>
                <w:bCs/>
                <w:color w:val="B22222"/>
                <w:sz w:val="20"/>
                <w:szCs w:val="20"/>
              </w:rPr>
              <w:t xml:space="preserve">जारी करने का प्रकार: </w:t>
            </w:r>
            <w:r>
              <w:rPr>
                <w:rFonts w:ascii="Mangal" w:cs="Mangal" w:eastAsia="Mangal" w:hAnsi="Mangal"/>
                <w:color w:val="000000"/>
                <w:sz w:val="20"/>
                <w:szCs w:val="20"/>
              </w:rPr>
              <w:t xml:space="preserve">केवल सतत</w:t>
            </w:r>
            <w:r>
              <w:rPr>
                <w:rFonts w:ascii="Mangal" w:cs="Mangal" w:eastAsia="Mangal" w:hAnsi="Mangal"/>
                <w:i/>
                <w:iCs/>
                <w:color w:val="555555"/>
                <w:sz w:val="18"/>
                <w:szCs w:val="18"/>
              </w:rPr>
              <w:t xml:space="preserve">     |     विधिक आधार: 19 CFR § 113.73</w:t>
            </w:r>
          </w:p>
        </w:tc>
      </w:tr>
      <w:tr>
        <w:tc>
          <w:tcPr>
            <w:tcW w:type="dxa" w:w="9360"/>
            <w:tcBorders>
              <w:top w:val="none" w:color="FFFFFF" w:sz="0"/>
              <w:left w:val="single" w:color="B22222" w:sz="4"/>
              <w:bottom w:val="single" w:color="B22222" w:sz="4"/>
              <w:right w:val="single" w:color="B22222" w:sz="4"/>
            </w:tcBorders>
            <w:shd w:fill="FFFFFF" w:color="auto" w:val="clear"/>
            <w:tcMar>
              <w:top w:type="dxa" w:w="100"/>
              <w:left w:type="dxa" w:w="140"/>
              <w:bottom w:type="dxa" w:w="100"/>
              <w:right w:type="dxa" w:w="140"/>
            </w:tcMar>
          </w:tcPr>
          <w:p>
            <w:pPr>
              <w:spacing w:after="60" w:before="40" w:line="330"/>
              <w:jc w:val="both"/>
            </w:pPr>
            <w:r>
              <w:rPr>
                <w:rFonts w:ascii="Mangal" w:cs="Mangal" w:eastAsia="Mangal" w:hAnsi="Mangal"/>
                <w:color w:val="000000"/>
                <w:sz w:val="21"/>
                <w:szCs w:val="21"/>
              </w:rPr>
              <w:t xml:space="preserve">विदेशी व्यापार क्षेत्र (Foreign Trade Zone) के संचालक द्वारा जारी किया जाता है। शुल्क-निर्धारण की दृष्टि से FTZ को अमेरिकी सीमा शुल्क-क्षेत्र के बाहर माना जाता है। FTZ के भीतर विदेशी माल को बिना शुल्क के संग्रहीत, हस्तगत, संयोजित, निर्मित अथवा पुनः-निर्यात किया जा सकता है; शुल्क केवल तब लागू होता है जब माल अमेरिकी वाणिज्य में प्रवेश करता है। यह बॉन्ड संचालक द्वारा समस्त FTZ विनियमों के अनुपालन की प्रत्याभूति देता है, जिसमें माल का अभिलेखन, सुरक्षा, तथा क्षेत्र में प्रविष्ट माल पर लागू Importer Security Filing दायित्व सम्मिलित हैं।</w:t>
            </w:r>
          </w:p>
          <w:p>
            <w:pPr>
              <w:spacing w:after="60" w:before="40" w:line="330"/>
              <w:jc w:val="both"/>
            </w:pPr>
            <w:r>
              <w:rPr>
                <w:rFonts w:ascii="Mangal" w:cs="Mangal" w:eastAsia="Mangal" w:hAnsi="Mangal"/>
                <w:color w:val="000000"/>
                <w:sz w:val="21"/>
                <w:szCs w:val="21"/>
              </w:rPr>
              <w:t xml:space="preserve">परिमाणन CBP के निर्देशन के अनुसार किया जाता है तथा संचालक की क्षेत्र-गतिविधि, throughput तथा भंडार-अनावरण से जुड़ा होता है।</w:t>
            </w:r>
          </w:p>
        </w:tc>
      </w:tr>
    </w:tbl>
    <w:p>
      <w:pPr>
        <w:pStyle w:val="Heading2"/>
        <w:spacing w:after="140" w:before="280"/>
      </w:pPr>
      <w:r>
        <w:rPr>
          <w:rFonts w:ascii="Nirmala UI" w:cs="Nirmala UI" w:eastAsia="Nirmala UI" w:hAnsi="Nirmala UI"/>
          <w:b/>
          <w:bCs/>
          <w:color w:val="000000"/>
          <w:sz w:val="28"/>
          <w:szCs w:val="28"/>
        </w:rPr>
        <w:t xml:space="preserve">गतिविधि कोड 5  —  सार्वजनिक मापक / वाणिज्यिक प्रयोगशाला</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B22222" w:sz="4"/>
              <w:left w:val="single" w:color="B22222" w:sz="4"/>
              <w:bottom w:val="single" w:color="B22222" w:sz="4"/>
              <w:right w:val="single" w:color="B22222" w:sz="4"/>
            </w:tcBorders>
            <w:shd w:fill="B22222" w:color="auto" w:val="clear"/>
            <w:tcMar>
              <w:top w:type="dxa" w:w="100"/>
              <w:left w:type="dxa" w:w="140"/>
              <w:bottom w:type="dxa" w:w="100"/>
              <w:right w:type="dxa" w:w="140"/>
            </w:tcMar>
          </w:tcPr>
          <w:p>
            <w:pPr>
              <w:spacing w:after="40" w:before="40"/>
            </w:pPr>
            <w:r>
              <w:rPr>
                <w:rFonts w:ascii="Nirmala UI" w:cs="Nirmala UI" w:eastAsia="Nirmala UI" w:hAnsi="Nirmala UI"/>
                <w:b/>
                <w:bCs/>
                <w:color w:val="FFFFFF"/>
                <w:sz w:val="24"/>
                <w:szCs w:val="24"/>
              </w:rPr>
              <w:t xml:space="preserve">गतिविधि कोड 5  –  </w:t>
            </w:r>
            <w:r>
              <w:rPr>
                <w:rFonts w:ascii="Nirmala UI" w:cs="Nirmala UI" w:eastAsia="Nirmala UI" w:hAnsi="Nirmala UI"/>
                <w:b/>
                <w:bCs/>
                <w:color w:val="FFFFFF"/>
                <w:sz w:val="24"/>
                <w:szCs w:val="24"/>
              </w:rPr>
              <w:t xml:space="preserve">सार्वजनिक मापक एवं वाणिज्यिक प्रयोगशाला बॉन्ड</w:t>
            </w:r>
          </w:p>
        </w:tc>
      </w:tr>
      <w:tr>
        <w:tc>
          <w:tcPr>
            <w:tcW w:type="dxa" w:w="9360"/>
            <w:tcBorders>
              <w:top w:val="none" w:color="FFFFFF" w:sz="0"/>
              <w:left w:val="single" w:color="B22222" w:sz="4"/>
              <w:bottom w:val="single" w:color="B22222" w:sz="4"/>
              <w:right w:val="single" w:color="B22222" w:sz="4"/>
            </w:tcBorders>
            <w:shd w:fill="F7F1F1" w:color="auto" w:val="clear"/>
            <w:tcMar>
              <w:top w:type="dxa" w:w="100"/>
              <w:left w:type="dxa" w:w="140"/>
              <w:bottom w:type="dxa" w:w="100"/>
              <w:right w:type="dxa" w:w="140"/>
            </w:tcMar>
          </w:tcPr>
          <w:p>
            <w:pPr>
              <w:spacing w:after="30" w:before="30"/>
            </w:pPr>
            <w:r>
              <w:rPr>
                <w:rFonts w:ascii="Nirmala UI" w:cs="Nirmala UI" w:eastAsia="Nirmala UI" w:hAnsi="Nirmala UI"/>
                <w:b/>
                <w:bCs/>
                <w:color w:val="B22222"/>
                <w:sz w:val="20"/>
                <w:szCs w:val="20"/>
              </w:rPr>
              <w:t xml:space="preserve">जारी करने का प्रकार: </w:t>
            </w:r>
            <w:r>
              <w:rPr>
                <w:rFonts w:ascii="Mangal" w:cs="Mangal" w:eastAsia="Mangal" w:hAnsi="Mangal"/>
                <w:color w:val="000000"/>
                <w:sz w:val="20"/>
                <w:szCs w:val="20"/>
              </w:rPr>
              <w:t xml:space="preserve">केवल सतत</w:t>
            </w:r>
            <w:r>
              <w:rPr>
                <w:rFonts w:ascii="Mangal" w:cs="Mangal" w:eastAsia="Mangal" w:hAnsi="Mangal"/>
                <w:i/>
                <w:iCs/>
                <w:color w:val="555555"/>
                <w:sz w:val="18"/>
                <w:szCs w:val="18"/>
              </w:rPr>
              <w:t xml:space="preserve">     |     विधिक आधार: 19 CFR § 113.67</w:t>
            </w:r>
          </w:p>
        </w:tc>
      </w:tr>
      <w:tr>
        <w:tc>
          <w:tcPr>
            <w:tcW w:type="dxa" w:w="9360"/>
            <w:tcBorders>
              <w:top w:val="none" w:color="FFFFFF" w:sz="0"/>
              <w:left w:val="single" w:color="B22222" w:sz="4"/>
              <w:bottom w:val="single" w:color="B22222" w:sz="4"/>
              <w:right w:val="single" w:color="B22222" w:sz="4"/>
            </w:tcBorders>
            <w:shd w:fill="FFFFFF" w:color="auto" w:val="clear"/>
            <w:tcMar>
              <w:top w:type="dxa" w:w="100"/>
              <w:left w:type="dxa" w:w="140"/>
              <w:bottom w:type="dxa" w:w="100"/>
              <w:right w:type="dxa" w:w="140"/>
            </w:tcMar>
          </w:tcPr>
          <w:p>
            <w:pPr>
              <w:spacing w:after="60" w:before="40" w:line="330"/>
              <w:jc w:val="both"/>
            </w:pPr>
            <w:r>
              <w:rPr>
                <w:rFonts w:ascii="Mangal" w:cs="Mangal" w:eastAsia="Mangal" w:hAnsi="Mangal"/>
                <w:color w:val="000000"/>
                <w:sz w:val="21"/>
                <w:szCs w:val="21"/>
              </w:rPr>
              <w:t xml:space="preserve">उन सार्वजनिक मापकों तथा वाणिज्यिक प्रयोगशालाओं द्वारा जारी किया जाता है जो CBP के माध्यम से प्रवेश करने वाले माल पर मापन, अंशांकन, नमूनाकरण अथवा परीक्षण सेवाएँ प्रदान करते हैं। यह सर्वाधिक प्रायः बल्क-कोमोडिटी आयात में सामने आता है — पेट्रोलियम, वनस्पति तेल, रसायन, अनाज तथा समान उत्पाद, जहाँ शुल्क-निर्धारण भार, परिमाप अथवा संघटन पर आधारित होता है।</w:t>
            </w:r>
          </w:p>
          <w:p>
            <w:pPr>
              <w:spacing w:after="60" w:before="40" w:line="330"/>
              <w:jc w:val="both"/>
            </w:pPr>
            <w:r>
              <w:rPr>
                <w:rFonts w:ascii="Mangal" w:cs="Mangal" w:eastAsia="Mangal" w:hAnsi="Mangal"/>
                <w:color w:val="000000"/>
                <w:sz w:val="21"/>
                <w:szCs w:val="21"/>
              </w:rPr>
              <w:t xml:space="preserve">न्यूनतम राशि एवं परिमाणन CBP के निर्देशन के अनुसार किया जाता है; प्रत्याभू मापक द्वारा प्रस्तुत मापन तथा प्रयोगशाला परिणामों की प्रामाणिकता की प्रत्याभूति देता है जिन पर CBP निर्भर करता है।</w:t>
            </w:r>
          </w:p>
        </w:tc>
      </w:tr>
    </w:tbl>
    <w:p>
      <w:pPr>
        <w:pStyle w:val="Heading2"/>
        <w:spacing w:after="140" w:before="280"/>
      </w:pPr>
      <w:r>
        <w:rPr>
          <w:rFonts w:ascii="Nirmala UI" w:cs="Nirmala UI" w:eastAsia="Nirmala UI" w:hAnsi="Nirmala UI"/>
          <w:b/>
          <w:bCs/>
          <w:color w:val="000000"/>
          <w:sz w:val="28"/>
          <w:szCs w:val="28"/>
        </w:rPr>
        <w:t xml:space="preserve">गतिविधि कोड 6  —  ऊन, फ़र एवं वस्त्र लेबलिंग अधिनियम</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B22222" w:sz="4"/>
              <w:left w:val="single" w:color="B22222" w:sz="4"/>
              <w:bottom w:val="single" w:color="B22222" w:sz="4"/>
              <w:right w:val="single" w:color="B22222" w:sz="4"/>
            </w:tcBorders>
            <w:shd w:fill="B22222" w:color="auto" w:val="clear"/>
            <w:tcMar>
              <w:top w:type="dxa" w:w="100"/>
              <w:left w:type="dxa" w:w="140"/>
              <w:bottom w:type="dxa" w:w="100"/>
              <w:right w:type="dxa" w:w="140"/>
            </w:tcMar>
          </w:tcPr>
          <w:p>
            <w:pPr>
              <w:spacing w:after="40" w:before="40"/>
            </w:pPr>
            <w:r>
              <w:rPr>
                <w:rFonts w:ascii="Nirmala UI" w:cs="Nirmala UI" w:eastAsia="Nirmala UI" w:hAnsi="Nirmala UI"/>
                <w:b/>
                <w:bCs/>
                <w:color w:val="FFFFFF"/>
                <w:sz w:val="24"/>
                <w:szCs w:val="24"/>
              </w:rPr>
              <w:t xml:space="preserve">गतिविधि कोड 6  –  </w:t>
            </w:r>
            <w:r>
              <w:rPr>
                <w:rFonts w:ascii="Nirmala UI" w:cs="Nirmala UI" w:eastAsia="Nirmala UI" w:hAnsi="Nirmala UI"/>
                <w:b/>
                <w:bCs/>
                <w:color w:val="FFFFFF"/>
                <w:sz w:val="24"/>
                <w:szCs w:val="24"/>
              </w:rPr>
              <w:t xml:space="preserve">ऊन, फ़र एवं वस्त्र-रेशा पहचान बॉन्ड</w:t>
            </w:r>
          </w:p>
        </w:tc>
      </w:tr>
      <w:tr>
        <w:tc>
          <w:tcPr>
            <w:tcW w:type="dxa" w:w="9360"/>
            <w:tcBorders>
              <w:top w:val="none" w:color="FFFFFF" w:sz="0"/>
              <w:left w:val="single" w:color="B22222" w:sz="4"/>
              <w:bottom w:val="single" w:color="B22222" w:sz="4"/>
              <w:right w:val="single" w:color="B22222" w:sz="4"/>
            </w:tcBorders>
            <w:shd w:fill="F7F1F1" w:color="auto" w:val="clear"/>
            <w:tcMar>
              <w:top w:type="dxa" w:w="100"/>
              <w:left w:type="dxa" w:w="140"/>
              <w:bottom w:type="dxa" w:w="100"/>
              <w:right w:type="dxa" w:w="140"/>
            </w:tcMar>
          </w:tcPr>
          <w:p>
            <w:pPr>
              <w:spacing w:after="30" w:before="30"/>
            </w:pPr>
            <w:r>
              <w:rPr>
                <w:rFonts w:ascii="Nirmala UI" w:cs="Nirmala UI" w:eastAsia="Nirmala UI" w:hAnsi="Nirmala UI"/>
                <w:b/>
                <w:bCs/>
                <w:color w:val="B22222"/>
                <w:sz w:val="20"/>
                <w:szCs w:val="20"/>
              </w:rPr>
              <w:t xml:space="preserve">जारी करने का प्रकार: </w:t>
            </w:r>
            <w:r>
              <w:rPr>
                <w:rFonts w:ascii="Mangal" w:cs="Mangal" w:eastAsia="Mangal" w:hAnsi="Mangal"/>
                <w:color w:val="000000"/>
                <w:sz w:val="20"/>
                <w:szCs w:val="20"/>
              </w:rPr>
              <w:t xml:space="preserve">केवल एकल-लेन-देन</w:t>
            </w:r>
            <w:r>
              <w:rPr>
                <w:rFonts w:ascii="Mangal" w:cs="Mangal" w:eastAsia="Mangal" w:hAnsi="Mangal"/>
                <w:i/>
                <w:iCs/>
                <w:color w:val="555555"/>
                <w:sz w:val="18"/>
                <w:szCs w:val="18"/>
              </w:rPr>
              <w:t xml:space="preserve">     |     विधिक आधार: 19 CFR § 113.68</w:t>
            </w:r>
          </w:p>
        </w:tc>
      </w:tr>
      <w:tr>
        <w:tc>
          <w:tcPr>
            <w:tcW w:type="dxa" w:w="9360"/>
            <w:tcBorders>
              <w:top w:val="none" w:color="FFFFFF" w:sz="0"/>
              <w:left w:val="single" w:color="B22222" w:sz="4"/>
              <w:bottom w:val="single" w:color="B22222" w:sz="4"/>
              <w:right w:val="single" w:color="B22222" w:sz="4"/>
            </w:tcBorders>
            <w:shd w:fill="FFFFFF" w:color="auto" w:val="clear"/>
            <w:tcMar>
              <w:top w:type="dxa" w:w="100"/>
              <w:left w:type="dxa" w:w="140"/>
              <w:bottom w:type="dxa" w:w="100"/>
              <w:right w:type="dxa" w:w="140"/>
            </w:tcMar>
          </w:tcPr>
          <w:p>
            <w:pPr>
              <w:spacing w:after="60" w:before="40" w:line="330"/>
              <w:jc w:val="both"/>
            </w:pPr>
            <w:r>
              <w:rPr>
                <w:rFonts w:ascii="Mangal" w:cs="Mangal" w:eastAsia="Mangal" w:hAnsi="Mangal"/>
                <w:color w:val="000000"/>
                <w:sz w:val="21"/>
                <w:szCs w:val="21"/>
              </w:rPr>
              <w:t xml:space="preserve">ऐसे माल की प्रविष्टि पर जारी किया जाता है जो Wool Products Labeling Act, Fur Products Labeling Act तथा Textile Fiber Products Identification Act के अधीन हो, और जब आयातक प्रविष्टि-काल पर इन क़ानूनों द्वारा अधिरोपित लेबलिंग आवश्यकताओं को पूरा करने में असमर्थ हो। यह बॉन्ड यह प्रत्याभूत करता है कि CBP द्वारा अनुमत अवधि में आवश्यक चिह्नांकन, लेबलिंग एवं प्रकटीकरण कार्य पूर्ण किए जाएँगे, अथवा माल को पुनः-निर्गत/निर्यात कर दिया जाएगा।</w:t>
            </w:r>
          </w:p>
          <w:p>
            <w:pPr>
              <w:spacing w:after="60" w:before="40" w:line="330"/>
              <w:jc w:val="both"/>
            </w:pPr>
            <w:r>
              <w:rPr>
                <w:rFonts w:ascii="Mangal" w:cs="Mangal" w:eastAsia="Mangal" w:hAnsi="Mangal"/>
                <w:color w:val="000000"/>
                <w:sz w:val="21"/>
                <w:szCs w:val="21"/>
              </w:rPr>
              <w:t xml:space="preserve">केवल एकल-लेन-देन प्रस्तुति। राशि बंदरगाह-निदेशक द्वारा विशिष्ट प्रविष्टि के आधार पर निर्धारित की जाती है।</w:t>
            </w:r>
          </w:p>
        </w:tc>
      </w:tr>
    </w:tbl>
    <w:p>
      <w:pPr>
        <w:pStyle w:val="Heading2"/>
        <w:spacing w:after="140" w:before="280"/>
      </w:pPr>
      <w:r>
        <w:rPr>
          <w:rFonts w:ascii="Nirmala UI" w:cs="Nirmala UI" w:eastAsia="Nirmala UI" w:hAnsi="Nirmala UI"/>
          <w:b/>
          <w:bCs/>
          <w:color w:val="000000"/>
          <w:sz w:val="28"/>
          <w:szCs w:val="28"/>
        </w:rPr>
        <w:t xml:space="preserve">गतिविधि कोड 7  —  लदान-बिल (Bill of Lading)</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B22222" w:sz="4"/>
              <w:left w:val="single" w:color="B22222" w:sz="4"/>
              <w:bottom w:val="single" w:color="B22222" w:sz="4"/>
              <w:right w:val="single" w:color="B22222" w:sz="4"/>
            </w:tcBorders>
            <w:shd w:fill="B22222" w:color="auto" w:val="clear"/>
            <w:tcMar>
              <w:top w:type="dxa" w:w="100"/>
              <w:left w:type="dxa" w:w="140"/>
              <w:bottom w:type="dxa" w:w="100"/>
              <w:right w:type="dxa" w:w="140"/>
            </w:tcMar>
          </w:tcPr>
          <w:p>
            <w:pPr>
              <w:spacing w:after="40" w:before="40"/>
            </w:pPr>
            <w:r>
              <w:rPr>
                <w:rFonts w:ascii="Nirmala UI" w:cs="Nirmala UI" w:eastAsia="Nirmala UI" w:hAnsi="Nirmala UI"/>
                <w:b/>
                <w:bCs/>
                <w:color w:val="FFFFFF"/>
                <w:sz w:val="24"/>
                <w:szCs w:val="24"/>
              </w:rPr>
              <w:t xml:space="preserve">गतिविधि कोड 7  –  </w:t>
            </w:r>
            <w:r>
              <w:rPr>
                <w:rFonts w:ascii="Nirmala UI" w:cs="Nirmala UI" w:eastAsia="Nirmala UI" w:hAnsi="Nirmala UI"/>
                <w:b/>
                <w:bCs/>
                <w:color w:val="FFFFFF"/>
                <w:sz w:val="24"/>
                <w:szCs w:val="24"/>
              </w:rPr>
              <w:t xml:space="preserve">लदान-बिल बॉन्ड</w:t>
            </w:r>
          </w:p>
        </w:tc>
      </w:tr>
      <w:tr>
        <w:tc>
          <w:tcPr>
            <w:tcW w:type="dxa" w:w="9360"/>
            <w:tcBorders>
              <w:top w:val="none" w:color="FFFFFF" w:sz="0"/>
              <w:left w:val="single" w:color="B22222" w:sz="4"/>
              <w:bottom w:val="single" w:color="B22222" w:sz="4"/>
              <w:right w:val="single" w:color="B22222" w:sz="4"/>
            </w:tcBorders>
            <w:shd w:fill="F7F1F1" w:color="auto" w:val="clear"/>
            <w:tcMar>
              <w:top w:type="dxa" w:w="100"/>
              <w:left w:type="dxa" w:w="140"/>
              <w:bottom w:type="dxa" w:w="100"/>
              <w:right w:type="dxa" w:w="140"/>
            </w:tcMar>
          </w:tcPr>
          <w:p>
            <w:pPr>
              <w:spacing w:after="30" w:before="30"/>
            </w:pPr>
            <w:r>
              <w:rPr>
                <w:rFonts w:ascii="Nirmala UI" w:cs="Nirmala UI" w:eastAsia="Nirmala UI" w:hAnsi="Nirmala UI"/>
                <w:b/>
                <w:bCs/>
                <w:color w:val="B22222"/>
                <w:sz w:val="20"/>
                <w:szCs w:val="20"/>
              </w:rPr>
              <w:t xml:space="preserve">जारी करने का प्रकार: </w:t>
            </w:r>
            <w:r>
              <w:rPr>
                <w:rFonts w:ascii="Mangal" w:cs="Mangal" w:eastAsia="Mangal" w:hAnsi="Mangal"/>
                <w:color w:val="000000"/>
                <w:sz w:val="20"/>
                <w:szCs w:val="20"/>
              </w:rPr>
              <w:t xml:space="preserve">केवल एकल-लेन-देन</w:t>
            </w:r>
            <w:r>
              <w:rPr>
                <w:rFonts w:ascii="Mangal" w:cs="Mangal" w:eastAsia="Mangal" w:hAnsi="Mangal"/>
                <w:i/>
                <w:iCs/>
                <w:color w:val="555555"/>
                <w:sz w:val="18"/>
                <w:szCs w:val="18"/>
              </w:rPr>
              <w:t xml:space="preserve">     |     विधिक आधार: 19 CFR § 113.69</w:t>
            </w:r>
          </w:p>
        </w:tc>
      </w:tr>
      <w:tr>
        <w:tc>
          <w:tcPr>
            <w:tcW w:type="dxa" w:w="9360"/>
            <w:tcBorders>
              <w:top w:val="none" w:color="FFFFFF" w:sz="0"/>
              <w:left w:val="single" w:color="B22222" w:sz="4"/>
              <w:bottom w:val="single" w:color="B22222" w:sz="4"/>
              <w:right w:val="single" w:color="B22222" w:sz="4"/>
            </w:tcBorders>
            <w:shd w:fill="FFFFFF" w:color="auto" w:val="clear"/>
            <w:tcMar>
              <w:top w:type="dxa" w:w="100"/>
              <w:left w:type="dxa" w:w="140"/>
              <w:bottom w:type="dxa" w:w="100"/>
              <w:right w:type="dxa" w:w="140"/>
            </w:tcMar>
          </w:tcPr>
          <w:p>
            <w:pPr>
              <w:spacing w:after="60" w:before="40" w:line="330"/>
              <w:jc w:val="both"/>
            </w:pPr>
            <w:r>
              <w:rPr>
                <w:rFonts w:ascii="Mangal" w:cs="Mangal" w:eastAsia="Mangal" w:hAnsi="Mangal"/>
                <w:color w:val="000000"/>
                <w:sz w:val="21"/>
                <w:szCs w:val="21"/>
              </w:rPr>
              <w:t xml:space="preserve">जब कोई पक्ष मूल समुद्री अथवा वायु लदान-बिल प्रस्तुत किए बिना माल की निकासी चाहता है — सामान्यतः मूल बिल खो जाने, विलंबित होने अथवा अनुपलब्ध होने के कारण — तब यह बॉन्ड जारी किया जाता है। यह CBP एवं परिवाहक को उस उत्तरदायित्व से सुरक्षित करता है जो मूल दस्तावेज़-धारी न होने वाले पक्ष को माल सुपुर्द करने से उत्पन्न हो सकता है।</w:t>
            </w:r>
          </w:p>
          <w:p>
            <w:pPr>
              <w:spacing w:after="60" w:before="40" w:line="330"/>
              <w:jc w:val="both"/>
            </w:pPr>
            <w:r>
              <w:rPr>
                <w:rFonts w:ascii="Mangal" w:cs="Mangal" w:eastAsia="Mangal" w:hAnsi="Mangal"/>
                <w:color w:val="000000"/>
                <w:sz w:val="21"/>
                <w:szCs w:val="21"/>
              </w:rPr>
              <w:t xml:space="preserve">राशि प्रत्येक खेप के आधार पर बंदरगाह पर निर्धारित की जाती है।</w:t>
            </w:r>
          </w:p>
        </w:tc>
      </w:tr>
    </w:tbl>
    <w:p>
      <w:pPr>
        <w:pStyle w:val="Heading2"/>
        <w:spacing w:after="140" w:before="280"/>
      </w:pPr>
      <w:r>
        <w:rPr>
          <w:rFonts w:ascii="Nirmala UI" w:cs="Nirmala UI" w:eastAsia="Nirmala UI" w:hAnsi="Nirmala UI"/>
          <w:b/>
          <w:bCs/>
          <w:color w:val="000000"/>
          <w:sz w:val="28"/>
          <w:szCs w:val="28"/>
        </w:rPr>
        <w:t xml:space="preserve">गतिविधि कोड 8  —  कॉपीराइट सामग्री का अवरोधन</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B22222" w:sz="4"/>
              <w:left w:val="single" w:color="B22222" w:sz="4"/>
              <w:bottom w:val="single" w:color="B22222" w:sz="4"/>
              <w:right w:val="single" w:color="B22222" w:sz="4"/>
            </w:tcBorders>
            <w:shd w:fill="B22222" w:color="auto" w:val="clear"/>
            <w:tcMar>
              <w:top w:type="dxa" w:w="100"/>
              <w:left w:type="dxa" w:w="140"/>
              <w:bottom w:type="dxa" w:w="100"/>
              <w:right w:type="dxa" w:w="140"/>
            </w:tcMar>
          </w:tcPr>
          <w:p>
            <w:pPr>
              <w:spacing w:after="40" w:before="40"/>
            </w:pPr>
            <w:r>
              <w:rPr>
                <w:rFonts w:ascii="Nirmala UI" w:cs="Nirmala UI" w:eastAsia="Nirmala UI" w:hAnsi="Nirmala UI"/>
                <w:b/>
                <w:bCs/>
                <w:color w:val="FFFFFF"/>
                <w:sz w:val="24"/>
                <w:szCs w:val="24"/>
              </w:rPr>
              <w:t xml:space="preserve">गतिविधि कोड 8  –  </w:t>
            </w:r>
            <w:r>
              <w:rPr>
                <w:rFonts w:ascii="Nirmala UI" w:cs="Nirmala UI" w:eastAsia="Nirmala UI" w:hAnsi="Nirmala UI"/>
                <w:b/>
                <w:bCs/>
                <w:color w:val="FFFFFF"/>
                <w:sz w:val="24"/>
                <w:szCs w:val="24"/>
              </w:rPr>
              <w:t xml:space="preserve">कॉपीराइट सामग्री अवरोधन बॉन्ड</w:t>
            </w:r>
          </w:p>
        </w:tc>
      </w:tr>
      <w:tr>
        <w:tc>
          <w:tcPr>
            <w:tcW w:type="dxa" w:w="9360"/>
            <w:tcBorders>
              <w:top w:val="none" w:color="FFFFFF" w:sz="0"/>
              <w:left w:val="single" w:color="B22222" w:sz="4"/>
              <w:bottom w:val="single" w:color="B22222" w:sz="4"/>
              <w:right w:val="single" w:color="B22222" w:sz="4"/>
            </w:tcBorders>
            <w:shd w:fill="F7F1F1" w:color="auto" w:val="clear"/>
            <w:tcMar>
              <w:top w:type="dxa" w:w="100"/>
              <w:left w:type="dxa" w:w="140"/>
              <w:bottom w:type="dxa" w:w="100"/>
              <w:right w:type="dxa" w:w="140"/>
            </w:tcMar>
          </w:tcPr>
          <w:p>
            <w:pPr>
              <w:spacing w:after="30" w:before="30"/>
            </w:pPr>
            <w:r>
              <w:rPr>
                <w:rFonts w:ascii="Nirmala UI" w:cs="Nirmala UI" w:eastAsia="Nirmala UI" w:hAnsi="Nirmala UI"/>
                <w:b/>
                <w:bCs/>
                <w:color w:val="B22222"/>
                <w:sz w:val="20"/>
                <w:szCs w:val="20"/>
              </w:rPr>
              <w:t xml:space="preserve">जारी करने का प्रकार: </w:t>
            </w:r>
            <w:r>
              <w:rPr>
                <w:rFonts w:ascii="Mangal" w:cs="Mangal" w:eastAsia="Mangal" w:hAnsi="Mangal"/>
                <w:color w:val="000000"/>
                <w:sz w:val="20"/>
                <w:szCs w:val="20"/>
              </w:rPr>
              <w:t xml:space="preserve">केवल एकल-लेन-देन</w:t>
            </w:r>
            <w:r>
              <w:rPr>
                <w:rFonts w:ascii="Mangal" w:cs="Mangal" w:eastAsia="Mangal" w:hAnsi="Mangal"/>
                <w:i/>
                <w:iCs/>
                <w:color w:val="555555"/>
                <w:sz w:val="18"/>
                <w:szCs w:val="18"/>
              </w:rPr>
              <w:t xml:space="preserve">     |     विधिक आधार: 19 CFR § 113.70</w:t>
            </w:r>
          </w:p>
        </w:tc>
      </w:tr>
      <w:tr>
        <w:tc>
          <w:tcPr>
            <w:tcW w:type="dxa" w:w="9360"/>
            <w:tcBorders>
              <w:top w:val="none" w:color="FFFFFF" w:sz="0"/>
              <w:left w:val="single" w:color="B22222" w:sz="4"/>
              <w:bottom w:val="single" w:color="B22222" w:sz="4"/>
              <w:right w:val="single" w:color="B22222" w:sz="4"/>
            </w:tcBorders>
            <w:shd w:fill="FFFFFF" w:color="auto" w:val="clear"/>
            <w:tcMar>
              <w:top w:type="dxa" w:w="100"/>
              <w:left w:type="dxa" w:w="140"/>
              <w:bottom w:type="dxa" w:w="100"/>
              <w:right w:type="dxa" w:w="140"/>
            </w:tcMar>
          </w:tcPr>
          <w:p>
            <w:pPr>
              <w:spacing w:after="60" w:before="40" w:line="330"/>
              <w:jc w:val="both"/>
            </w:pPr>
            <w:r>
              <w:rPr>
                <w:rFonts w:ascii="Mangal" w:cs="Mangal" w:eastAsia="Mangal" w:hAnsi="Mangal"/>
                <w:color w:val="000000"/>
                <w:sz w:val="21"/>
                <w:szCs w:val="21"/>
              </w:rPr>
              <w:t xml:space="preserve">उस आयातक द्वारा जारी किया जाता है जिसका माल कॉपीराइट उल्लंघन की संदिग्धता पर CBP द्वारा अवरुद्ध कर दिया गया हो, ताकि कॉपीराइट विवाद के निपटारे तक माल की सशर्त निकासी प्राप्त की जा सके। यह बॉन्ड कॉपीराइट-स्वामी को माल की निकासी से उत्पन्न होने वाली हानियों से सुरक्षित करता है।</w:t>
            </w:r>
          </w:p>
          <w:p>
            <w:pPr>
              <w:spacing w:after="60" w:before="40" w:line="330"/>
              <w:jc w:val="both"/>
            </w:pPr>
            <w:r>
              <w:rPr>
                <w:rFonts w:ascii="Mangal" w:cs="Mangal" w:eastAsia="Mangal" w:hAnsi="Mangal"/>
                <w:color w:val="000000"/>
                <w:sz w:val="21"/>
                <w:szCs w:val="21"/>
              </w:rPr>
              <w:t xml:space="preserve">केवल एकल-लेन-देन प्रस्तुति। राशि बंदरगाह-निदेशक द्वारा निर्धारित की जाती है।</w:t>
            </w:r>
          </w:p>
        </w:tc>
      </w:tr>
    </w:tbl>
    <w:p>
      <w:pPr>
        <w:pStyle w:val="Heading2"/>
        <w:spacing w:after="140" w:before="280"/>
      </w:pPr>
      <w:r>
        <w:rPr>
          <w:rFonts w:ascii="Nirmala UI" w:cs="Nirmala UI" w:eastAsia="Nirmala UI" w:hAnsi="Nirmala UI"/>
          <w:b/>
          <w:bCs/>
          <w:color w:val="000000"/>
          <w:sz w:val="28"/>
          <w:szCs w:val="28"/>
        </w:rPr>
        <w:t xml:space="preserve">गतिविधि कोड 9  —  तटस्थता बॉन्ड</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B22222" w:sz="4"/>
              <w:left w:val="single" w:color="B22222" w:sz="4"/>
              <w:bottom w:val="single" w:color="B22222" w:sz="4"/>
              <w:right w:val="single" w:color="B22222" w:sz="4"/>
            </w:tcBorders>
            <w:shd w:fill="B22222" w:color="auto" w:val="clear"/>
            <w:tcMar>
              <w:top w:type="dxa" w:w="100"/>
              <w:left w:type="dxa" w:w="140"/>
              <w:bottom w:type="dxa" w:w="100"/>
              <w:right w:type="dxa" w:w="140"/>
            </w:tcMar>
          </w:tcPr>
          <w:p>
            <w:pPr>
              <w:spacing w:after="40" w:before="40"/>
            </w:pPr>
            <w:r>
              <w:rPr>
                <w:rFonts w:ascii="Nirmala UI" w:cs="Nirmala UI" w:eastAsia="Nirmala UI" w:hAnsi="Nirmala UI"/>
                <w:b/>
                <w:bCs/>
                <w:color w:val="FFFFFF"/>
                <w:sz w:val="24"/>
                <w:szCs w:val="24"/>
              </w:rPr>
              <w:t xml:space="preserve">गतिविधि कोड 9  –  </w:t>
            </w:r>
            <w:r>
              <w:rPr>
                <w:rFonts w:ascii="Nirmala UI" w:cs="Nirmala UI" w:eastAsia="Nirmala UI" w:hAnsi="Nirmala UI"/>
                <w:b/>
                <w:bCs/>
                <w:color w:val="FFFFFF"/>
                <w:sz w:val="24"/>
                <w:szCs w:val="24"/>
              </w:rPr>
              <w:t xml:space="preserve">तटस्थता बॉन्ड</w:t>
            </w:r>
          </w:p>
        </w:tc>
      </w:tr>
      <w:tr>
        <w:tc>
          <w:tcPr>
            <w:tcW w:type="dxa" w:w="9360"/>
            <w:tcBorders>
              <w:top w:val="none" w:color="FFFFFF" w:sz="0"/>
              <w:left w:val="single" w:color="B22222" w:sz="4"/>
              <w:bottom w:val="single" w:color="B22222" w:sz="4"/>
              <w:right w:val="single" w:color="B22222" w:sz="4"/>
            </w:tcBorders>
            <w:shd w:fill="F7F1F1" w:color="auto" w:val="clear"/>
            <w:tcMar>
              <w:top w:type="dxa" w:w="100"/>
              <w:left w:type="dxa" w:w="140"/>
              <w:bottom w:type="dxa" w:w="100"/>
              <w:right w:type="dxa" w:w="140"/>
            </w:tcMar>
          </w:tcPr>
          <w:p>
            <w:pPr>
              <w:spacing w:after="30" w:before="30"/>
            </w:pPr>
            <w:r>
              <w:rPr>
                <w:rFonts w:ascii="Nirmala UI" w:cs="Nirmala UI" w:eastAsia="Nirmala UI" w:hAnsi="Nirmala UI"/>
                <w:b/>
                <w:bCs/>
                <w:color w:val="B22222"/>
                <w:sz w:val="20"/>
                <w:szCs w:val="20"/>
              </w:rPr>
              <w:t xml:space="preserve">जारी करने का प्रकार: </w:t>
            </w:r>
            <w:r>
              <w:rPr>
                <w:rFonts w:ascii="Mangal" w:cs="Mangal" w:eastAsia="Mangal" w:hAnsi="Mangal"/>
                <w:color w:val="000000"/>
                <w:sz w:val="20"/>
                <w:szCs w:val="20"/>
              </w:rPr>
              <w:t xml:space="preserve">केवल एकल-लेन-देन</w:t>
            </w:r>
            <w:r>
              <w:rPr>
                <w:rFonts w:ascii="Mangal" w:cs="Mangal" w:eastAsia="Mangal" w:hAnsi="Mangal"/>
                <w:i/>
                <w:iCs/>
                <w:color w:val="555555"/>
                <w:sz w:val="18"/>
                <w:szCs w:val="18"/>
              </w:rPr>
              <w:t xml:space="preserve">     |     विधिक आधार: 19 CFR § 113.71</w:t>
            </w:r>
          </w:p>
        </w:tc>
      </w:tr>
      <w:tr>
        <w:tc>
          <w:tcPr>
            <w:tcW w:type="dxa" w:w="9360"/>
            <w:tcBorders>
              <w:top w:val="none" w:color="FFFFFF" w:sz="0"/>
              <w:left w:val="single" w:color="B22222" w:sz="4"/>
              <w:bottom w:val="single" w:color="B22222" w:sz="4"/>
              <w:right w:val="single" w:color="B22222" w:sz="4"/>
            </w:tcBorders>
            <w:shd w:fill="FFFFFF" w:color="auto" w:val="clear"/>
            <w:tcMar>
              <w:top w:type="dxa" w:w="100"/>
              <w:left w:type="dxa" w:w="140"/>
              <w:bottom w:type="dxa" w:w="100"/>
              <w:right w:type="dxa" w:w="140"/>
            </w:tcMar>
          </w:tcPr>
          <w:p>
            <w:pPr>
              <w:spacing w:after="60" w:before="40" w:line="330"/>
              <w:jc w:val="both"/>
            </w:pPr>
            <w:r>
              <w:rPr>
                <w:rFonts w:ascii="Mangal" w:cs="Mangal" w:eastAsia="Mangal" w:hAnsi="Mangal"/>
                <w:color w:val="000000"/>
                <w:sz w:val="21"/>
                <w:szCs w:val="21"/>
              </w:rPr>
              <w:t xml:space="preserve">जब किसी अमेरिकी बंदरगाह से रवाना होने वाला जहाज़ ऐसा माल अथवा व्यक्ति ले जाता है जिन पर अमेरिकी तटस्थता क़ानूनों के अधीन यह प्रत्याभूत किया जाना आवश्यक हो कि वह जहाज़ अमेरिका के साथ शांति-संबंध रखने वाले राष्ट्र के विरुद्ध सेवा में नहीं लगाया जाएगा — तब यह बॉन्ड जारी किया जाता है। नित्य व्यावसायिक व्यवहार में दुर्लभ रूप से प्रयुक्त होता है, परन्तु Form 301 के मान्य वर्गों में सम्मिलित है।</w:t>
            </w:r>
          </w:p>
        </w:tc>
      </w:tr>
    </w:tbl>
    <w:p>
      <w:pPr>
        <w:pStyle w:val="Heading2"/>
        <w:spacing w:after="140" w:before="280"/>
      </w:pPr>
      <w:r>
        <w:rPr>
          <w:rFonts w:ascii="Nirmala UI" w:cs="Nirmala UI" w:eastAsia="Nirmala UI" w:hAnsi="Nirmala UI"/>
          <w:b/>
          <w:bCs/>
          <w:color w:val="000000"/>
          <w:sz w:val="28"/>
          <w:szCs w:val="28"/>
        </w:rPr>
        <w:t xml:space="preserve">गतिविधि कोड 10  —  अधिग्रहीत माल की न्यायालय-लागत</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B22222" w:sz="4"/>
              <w:left w:val="single" w:color="B22222" w:sz="4"/>
              <w:bottom w:val="single" w:color="B22222" w:sz="4"/>
              <w:right w:val="single" w:color="B22222" w:sz="4"/>
            </w:tcBorders>
            <w:shd w:fill="B22222" w:color="auto" w:val="clear"/>
            <w:tcMar>
              <w:top w:type="dxa" w:w="100"/>
              <w:left w:type="dxa" w:w="140"/>
              <w:bottom w:type="dxa" w:w="100"/>
              <w:right w:type="dxa" w:w="140"/>
            </w:tcMar>
          </w:tcPr>
          <w:p>
            <w:pPr>
              <w:spacing w:after="40" w:before="40"/>
            </w:pPr>
            <w:r>
              <w:rPr>
                <w:rFonts w:ascii="Nirmala UI" w:cs="Nirmala UI" w:eastAsia="Nirmala UI" w:hAnsi="Nirmala UI"/>
                <w:b/>
                <w:bCs/>
                <w:color w:val="FFFFFF"/>
                <w:sz w:val="24"/>
                <w:szCs w:val="24"/>
              </w:rPr>
              <w:t xml:space="preserve">गतिविधि कोड 10  –  </w:t>
            </w:r>
            <w:r>
              <w:rPr>
                <w:rFonts w:ascii="Nirmala UI" w:cs="Nirmala UI" w:eastAsia="Nirmala UI" w:hAnsi="Nirmala UI"/>
                <w:b/>
                <w:bCs/>
                <w:color w:val="FFFFFF"/>
                <w:sz w:val="24"/>
                <w:szCs w:val="24"/>
              </w:rPr>
              <w:t xml:space="preserve">अधिग्रहीत माल न्यायालय-लागत बॉन्ड</w:t>
            </w:r>
          </w:p>
        </w:tc>
      </w:tr>
      <w:tr>
        <w:tc>
          <w:tcPr>
            <w:tcW w:type="dxa" w:w="9360"/>
            <w:tcBorders>
              <w:top w:val="none" w:color="FFFFFF" w:sz="0"/>
              <w:left w:val="single" w:color="B22222" w:sz="4"/>
              <w:bottom w:val="single" w:color="B22222" w:sz="4"/>
              <w:right w:val="single" w:color="B22222" w:sz="4"/>
            </w:tcBorders>
            <w:shd w:fill="F7F1F1" w:color="auto" w:val="clear"/>
            <w:tcMar>
              <w:top w:type="dxa" w:w="100"/>
              <w:left w:type="dxa" w:w="140"/>
              <w:bottom w:type="dxa" w:w="100"/>
              <w:right w:type="dxa" w:w="140"/>
            </w:tcMar>
          </w:tcPr>
          <w:p>
            <w:pPr>
              <w:spacing w:after="30" w:before="30"/>
            </w:pPr>
            <w:r>
              <w:rPr>
                <w:rFonts w:ascii="Nirmala UI" w:cs="Nirmala UI" w:eastAsia="Nirmala UI" w:hAnsi="Nirmala UI"/>
                <w:b/>
                <w:bCs/>
                <w:color w:val="B22222"/>
                <w:sz w:val="20"/>
                <w:szCs w:val="20"/>
              </w:rPr>
              <w:t xml:space="preserve">जारी करने का प्रकार: </w:t>
            </w:r>
            <w:r>
              <w:rPr>
                <w:rFonts w:ascii="Mangal" w:cs="Mangal" w:eastAsia="Mangal" w:hAnsi="Mangal"/>
                <w:color w:val="000000"/>
                <w:sz w:val="20"/>
                <w:szCs w:val="20"/>
              </w:rPr>
              <w:t xml:space="preserve">केवल एकल-लेन-देन</w:t>
            </w:r>
            <w:r>
              <w:rPr>
                <w:rFonts w:ascii="Mangal" w:cs="Mangal" w:eastAsia="Mangal" w:hAnsi="Mangal"/>
                <w:i/>
                <w:iCs/>
                <w:color w:val="555555"/>
                <w:sz w:val="18"/>
                <w:szCs w:val="18"/>
              </w:rPr>
              <w:t xml:space="preserve">     |     विधिक आधार: 19 CFR § 113.72</w:t>
            </w:r>
          </w:p>
        </w:tc>
      </w:tr>
      <w:tr>
        <w:tc>
          <w:tcPr>
            <w:tcW w:type="dxa" w:w="9360"/>
            <w:tcBorders>
              <w:top w:val="none" w:color="FFFFFF" w:sz="0"/>
              <w:left w:val="single" w:color="B22222" w:sz="4"/>
              <w:bottom w:val="single" w:color="B22222" w:sz="4"/>
              <w:right w:val="single" w:color="B22222" w:sz="4"/>
            </w:tcBorders>
            <w:shd w:fill="FFFFFF" w:color="auto" w:val="clear"/>
            <w:tcMar>
              <w:top w:type="dxa" w:w="100"/>
              <w:left w:type="dxa" w:w="140"/>
              <w:bottom w:type="dxa" w:w="100"/>
              <w:right w:type="dxa" w:w="140"/>
            </w:tcMar>
          </w:tcPr>
          <w:p>
            <w:pPr>
              <w:spacing w:after="60" w:before="40" w:line="330"/>
              <w:jc w:val="both"/>
            </w:pPr>
            <w:r>
              <w:rPr>
                <w:rFonts w:ascii="Mangal" w:cs="Mangal" w:eastAsia="Mangal" w:hAnsi="Mangal"/>
                <w:color w:val="000000"/>
                <w:sz w:val="21"/>
                <w:szCs w:val="21"/>
              </w:rPr>
              <w:t xml:space="preserve">उस दावेदार द्वारा जारी किया जाता है जो CBP द्वारा ज़ब्त माल पर अधिग्रहण-कार्यवाही में हस्तक्षेप कर रहा हो। यदि ज़ब्ती अंततः पुष्ट रहती है, तो यह बॉन्ड संयुक्त राज्य अमेरिका को अधिग्रहण-कार्यवाही में आने वाली न्यायालय-लागत तथा संबंधित व्यय की प्रत्याभूति देता है। कोड 10 के अंतर्गत ज़ब्ती-संख्या के संदर्भ पर अनिवार्य।</w:t>
            </w:r>
          </w:p>
        </w:tc>
      </w:tr>
    </w:tbl>
    <w:p>
      <w:pPr>
        <w:pStyle w:val="Heading2"/>
        <w:spacing w:after="140" w:before="280"/>
      </w:pPr>
      <w:r>
        <w:rPr>
          <w:rFonts w:ascii="Nirmala UI" w:cs="Nirmala UI" w:eastAsia="Nirmala UI" w:hAnsi="Nirmala UI"/>
          <w:b/>
          <w:bCs/>
          <w:color w:val="000000"/>
          <w:sz w:val="28"/>
          <w:szCs w:val="28"/>
        </w:rPr>
        <w:t xml:space="preserve">गतिविधि कोड 11  —  हवाई अड्डा सीमा शुल्क सुरक्षा क्षेत्र</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B22222" w:sz="4"/>
              <w:left w:val="single" w:color="B22222" w:sz="4"/>
              <w:bottom w:val="single" w:color="B22222" w:sz="4"/>
              <w:right w:val="single" w:color="B22222" w:sz="4"/>
            </w:tcBorders>
            <w:shd w:fill="B22222" w:color="auto" w:val="clear"/>
            <w:tcMar>
              <w:top w:type="dxa" w:w="100"/>
              <w:left w:type="dxa" w:w="140"/>
              <w:bottom w:type="dxa" w:w="100"/>
              <w:right w:type="dxa" w:w="140"/>
            </w:tcMar>
          </w:tcPr>
          <w:p>
            <w:pPr>
              <w:spacing w:after="40" w:before="40"/>
            </w:pPr>
            <w:r>
              <w:rPr>
                <w:rFonts w:ascii="Nirmala UI" w:cs="Nirmala UI" w:eastAsia="Nirmala UI" w:hAnsi="Nirmala UI"/>
                <w:b/>
                <w:bCs/>
                <w:color w:val="FFFFFF"/>
                <w:sz w:val="24"/>
                <w:szCs w:val="24"/>
              </w:rPr>
              <w:t xml:space="preserve">गतिविधि कोड 11  –  </w:t>
            </w:r>
            <w:r>
              <w:rPr>
                <w:rFonts w:ascii="Nirmala UI" w:cs="Nirmala UI" w:eastAsia="Nirmala UI" w:hAnsi="Nirmala UI"/>
                <w:b/>
                <w:bCs/>
                <w:color w:val="FFFFFF"/>
                <w:sz w:val="24"/>
                <w:szCs w:val="24"/>
              </w:rPr>
              <w:t xml:space="preserve">हवाई अड्डा सीमा शुल्क सुरक्षा क्षेत्र बॉन्ड</w:t>
            </w:r>
          </w:p>
        </w:tc>
      </w:tr>
      <w:tr>
        <w:tc>
          <w:tcPr>
            <w:tcW w:type="dxa" w:w="9360"/>
            <w:tcBorders>
              <w:top w:val="none" w:color="FFFFFF" w:sz="0"/>
              <w:left w:val="single" w:color="B22222" w:sz="4"/>
              <w:bottom w:val="single" w:color="B22222" w:sz="4"/>
              <w:right w:val="single" w:color="B22222" w:sz="4"/>
            </w:tcBorders>
            <w:shd w:fill="F7F1F1" w:color="auto" w:val="clear"/>
            <w:tcMar>
              <w:top w:type="dxa" w:w="100"/>
              <w:left w:type="dxa" w:w="140"/>
              <w:bottom w:type="dxa" w:w="100"/>
              <w:right w:type="dxa" w:w="140"/>
            </w:tcMar>
          </w:tcPr>
          <w:p>
            <w:pPr>
              <w:spacing w:after="30" w:before="30"/>
            </w:pPr>
            <w:r>
              <w:rPr>
                <w:rFonts w:ascii="Nirmala UI" w:cs="Nirmala UI" w:eastAsia="Nirmala UI" w:hAnsi="Nirmala UI"/>
                <w:b/>
                <w:bCs/>
                <w:color w:val="B22222"/>
                <w:sz w:val="20"/>
                <w:szCs w:val="20"/>
              </w:rPr>
              <w:t xml:space="preserve">जारी करने का प्रकार: </w:t>
            </w:r>
            <w:r>
              <w:rPr>
                <w:rFonts w:ascii="Mangal" w:cs="Mangal" w:eastAsia="Mangal" w:hAnsi="Mangal"/>
                <w:color w:val="000000"/>
                <w:sz w:val="20"/>
                <w:szCs w:val="20"/>
              </w:rPr>
              <w:t xml:space="preserve">केवल सतत</w:t>
            </w:r>
            <w:r>
              <w:rPr>
                <w:rFonts w:ascii="Mangal" w:cs="Mangal" w:eastAsia="Mangal" w:hAnsi="Mangal"/>
                <w:i/>
                <w:iCs/>
                <w:color w:val="555555"/>
                <w:sz w:val="18"/>
                <w:szCs w:val="18"/>
              </w:rPr>
              <w:t xml:space="preserve">     |     विधिक आधार: 19 CFR §§ 113.62, 113.63, 113.64 अथवा परिशिष्ट A</w:t>
            </w:r>
          </w:p>
        </w:tc>
      </w:tr>
      <w:tr>
        <w:tc>
          <w:tcPr>
            <w:tcW w:type="dxa" w:w="9360"/>
            <w:tcBorders>
              <w:top w:val="none" w:color="FFFFFF" w:sz="0"/>
              <w:left w:val="single" w:color="B22222" w:sz="4"/>
              <w:bottom w:val="single" w:color="B22222" w:sz="4"/>
              <w:right w:val="single" w:color="B22222" w:sz="4"/>
            </w:tcBorders>
            <w:shd w:fill="FFFFFF" w:color="auto" w:val="clear"/>
            <w:tcMar>
              <w:top w:type="dxa" w:w="100"/>
              <w:left w:type="dxa" w:w="140"/>
              <w:bottom w:type="dxa" w:w="100"/>
              <w:right w:type="dxa" w:w="140"/>
            </w:tcMar>
          </w:tcPr>
          <w:p>
            <w:pPr>
              <w:spacing w:after="60" w:before="40" w:line="330"/>
              <w:jc w:val="both"/>
            </w:pPr>
            <w:r>
              <w:rPr>
                <w:rFonts w:ascii="Mangal" w:cs="Mangal" w:eastAsia="Mangal" w:hAnsi="Mangal"/>
                <w:color w:val="000000"/>
                <w:sz w:val="21"/>
                <w:szCs w:val="21"/>
              </w:rPr>
              <w:t xml:space="preserve">उन ठेकेदारों एवं तृतीय-पक्ष सेवा-प्रदाताओं द्वारा अनिवार्य है जिन्हें किसी अंतरराष्ट्रीय हवाई अड्डे के सीमा शुल्क सुरक्षा क्षेत्र में प्रवेश की आवश्यकता हो — उदाहरणार्थ, एयरलाइन द्वारा स्वयं नियुक्त न किए गए विमान-सफ़ाई कर्मी, रखरखाव एवं भू-सेवा ठेकेदार, ईंधन-दाता तथा रियायतग्राही। यह बॉन्ड सुरक्षा क्षेत्र में CBP सुरक्षा-प्रोटोकॉल के अनुपालन की प्रत्याभूति देता है।</w:t>
            </w:r>
          </w:p>
          <w:p>
            <w:pPr>
              <w:spacing w:after="60" w:before="40" w:line="330"/>
              <w:jc w:val="both"/>
            </w:pPr>
            <w:r>
              <w:rPr>
                <w:rFonts w:ascii="Mangal" w:cs="Mangal" w:eastAsia="Mangal" w:hAnsi="Mangal"/>
                <w:color w:val="000000"/>
                <w:sz w:val="21"/>
                <w:szCs w:val="21"/>
              </w:rPr>
              <w:t xml:space="preserve">CBP Form 301 पर आवेदकों को “सतत” तथा “कोड 11” दोनों को संयुक्त रूप से चिह्नित करना होगा; इस कोड को एकल-लेन-देन प्रस्तुति के रूप में फ़ॉर्म पर स्वीकार नहीं किया जाता।</w:t>
            </w:r>
          </w:p>
        </w:tc>
      </w:tr>
    </w:tbl>
    <w:p>
      <w:pPr>
        <w:pStyle w:val="Heading2"/>
        <w:spacing w:after="140" w:before="280"/>
      </w:pPr>
      <w:r>
        <w:rPr>
          <w:rFonts w:ascii="Nirmala UI" w:cs="Nirmala UI" w:eastAsia="Nirmala UI" w:hAnsi="Nirmala UI"/>
          <w:b/>
          <w:bCs/>
          <w:color w:val="000000"/>
          <w:sz w:val="28"/>
          <w:szCs w:val="28"/>
        </w:rPr>
        <w:t xml:space="preserve">गतिविधि कोड 12  —  अंतरराष्ट्रीय व्यापार आयोग (ITC) निष्कासन-आदेश</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B22222" w:sz="4"/>
              <w:left w:val="single" w:color="B22222" w:sz="4"/>
              <w:bottom w:val="single" w:color="B22222" w:sz="4"/>
              <w:right w:val="single" w:color="B22222" w:sz="4"/>
            </w:tcBorders>
            <w:shd w:fill="B22222" w:color="auto" w:val="clear"/>
            <w:tcMar>
              <w:top w:type="dxa" w:w="100"/>
              <w:left w:type="dxa" w:w="140"/>
              <w:bottom w:type="dxa" w:w="100"/>
              <w:right w:type="dxa" w:w="140"/>
            </w:tcMar>
          </w:tcPr>
          <w:p>
            <w:pPr>
              <w:spacing w:after="40" w:before="40"/>
            </w:pPr>
            <w:r>
              <w:rPr>
                <w:rFonts w:ascii="Nirmala UI" w:cs="Nirmala UI" w:eastAsia="Nirmala UI" w:hAnsi="Nirmala UI"/>
                <w:b/>
                <w:bCs/>
                <w:color w:val="FFFFFF"/>
                <w:sz w:val="24"/>
                <w:szCs w:val="24"/>
              </w:rPr>
              <w:t xml:space="preserve">गतिविधि कोड 12  –  </w:t>
            </w:r>
            <w:r>
              <w:rPr>
                <w:rFonts w:ascii="Nirmala UI" w:cs="Nirmala UI" w:eastAsia="Nirmala UI" w:hAnsi="Nirmala UI"/>
                <w:b/>
                <w:bCs/>
                <w:color w:val="FFFFFF"/>
                <w:sz w:val="24"/>
                <w:szCs w:val="24"/>
              </w:rPr>
              <w:t xml:space="preserve">ITC निष्कासन-आदेश बॉन्ड</w:t>
            </w:r>
          </w:p>
        </w:tc>
      </w:tr>
      <w:tr>
        <w:tc>
          <w:tcPr>
            <w:tcW w:type="dxa" w:w="9360"/>
            <w:tcBorders>
              <w:top w:val="none" w:color="FFFFFF" w:sz="0"/>
              <w:left w:val="single" w:color="B22222" w:sz="4"/>
              <w:bottom w:val="single" w:color="B22222" w:sz="4"/>
              <w:right w:val="single" w:color="B22222" w:sz="4"/>
            </w:tcBorders>
            <w:shd w:fill="F7F1F1" w:color="auto" w:val="clear"/>
            <w:tcMar>
              <w:top w:type="dxa" w:w="100"/>
              <w:left w:type="dxa" w:w="140"/>
              <w:bottom w:type="dxa" w:w="100"/>
              <w:right w:type="dxa" w:w="140"/>
            </w:tcMar>
          </w:tcPr>
          <w:p>
            <w:pPr>
              <w:spacing w:after="30" w:before="30"/>
            </w:pPr>
            <w:r>
              <w:rPr>
                <w:rFonts w:ascii="Nirmala UI" w:cs="Nirmala UI" w:eastAsia="Nirmala UI" w:hAnsi="Nirmala UI"/>
                <w:b/>
                <w:bCs/>
                <w:color w:val="B22222"/>
                <w:sz w:val="20"/>
                <w:szCs w:val="20"/>
              </w:rPr>
              <w:t xml:space="preserve">जारी करने का प्रकार: </w:t>
            </w:r>
            <w:r>
              <w:rPr>
                <w:rFonts w:ascii="Mangal" w:cs="Mangal" w:eastAsia="Mangal" w:hAnsi="Mangal"/>
                <w:color w:val="000000"/>
                <w:sz w:val="20"/>
                <w:szCs w:val="20"/>
              </w:rPr>
              <w:t xml:space="preserve">केवल एकल-लेन-देन</w:t>
            </w:r>
            <w:r>
              <w:rPr>
                <w:rFonts w:ascii="Mangal" w:cs="Mangal" w:eastAsia="Mangal" w:hAnsi="Mangal"/>
                <w:i/>
                <w:iCs/>
                <w:color w:val="555555"/>
                <w:sz w:val="18"/>
                <w:szCs w:val="18"/>
              </w:rPr>
              <w:t xml:space="preserve">     |     विधिक आधार: 19 CFR § 113.74 तथा परिशिष्ट B</w:t>
            </w:r>
          </w:p>
        </w:tc>
      </w:tr>
      <w:tr>
        <w:tc>
          <w:tcPr>
            <w:tcW w:type="dxa" w:w="9360"/>
            <w:tcBorders>
              <w:top w:val="none" w:color="FFFFFF" w:sz="0"/>
              <w:left w:val="single" w:color="B22222" w:sz="4"/>
              <w:bottom w:val="single" w:color="B22222" w:sz="4"/>
              <w:right w:val="single" w:color="B22222" w:sz="4"/>
            </w:tcBorders>
            <w:shd w:fill="FFFFFF" w:color="auto" w:val="clear"/>
            <w:tcMar>
              <w:top w:type="dxa" w:w="100"/>
              <w:left w:type="dxa" w:w="140"/>
              <w:bottom w:type="dxa" w:w="100"/>
              <w:right w:type="dxa" w:w="140"/>
            </w:tcMar>
          </w:tcPr>
          <w:p>
            <w:pPr>
              <w:spacing w:after="60" w:before="40" w:line="330"/>
              <w:jc w:val="both"/>
            </w:pPr>
            <w:r>
              <w:rPr>
                <w:rFonts w:ascii="Mangal" w:cs="Mangal" w:eastAsia="Mangal" w:hAnsi="Mangal"/>
                <w:color w:val="000000"/>
                <w:sz w:val="21"/>
                <w:szCs w:val="21"/>
              </w:rPr>
              <w:t xml:space="preserve">Tariff Act of 1930 की Section 337 के अधीन अमेरिकी अंतरराष्ट्रीय व्यापार आयोग (U.S. ITC) द्वारा निर्गत निष्कासन-आदेश के अधीन माल के आयातक द्वारा जारी किया जाता है, ताकि राष्ट्रपति-समीक्षा अवधि अथवा अन्य किसी अनुमत अवधि में “बॉन्ड-अंतर्गत प्रविष्टि” प्राप्त की जा सके। यह बॉन्ड उस क्षति से रक्षा करता है जिसे रोकने के लिए निष्कासन-आदेश निर्गत किया गया है।</w:t>
            </w:r>
          </w:p>
          <w:p>
            <w:pPr>
              <w:spacing w:after="60" w:before="40" w:line="330"/>
              <w:jc w:val="both"/>
            </w:pPr>
            <w:r>
              <w:rPr>
                <w:rFonts w:ascii="Mangal" w:cs="Mangal" w:eastAsia="Mangal" w:hAnsi="Mangal"/>
                <w:color w:val="000000"/>
                <w:sz w:val="21"/>
                <w:szCs w:val="21"/>
              </w:rPr>
              <w:t xml:space="preserve">कोड 12 को 19 CFR Part 113 के Appendix B में निर्धारित शर्तों एवं राशियों के अनुसार जारी किया जाता है। CBP Form 301 इस प्रस्तुति के लिए प्रयुक्त नहीं किया जा सकता; पृथक् बॉन्ड-उपकरण अपेक्षित है।</w:t>
            </w:r>
          </w:p>
        </w:tc>
      </w:tr>
    </w:tbl>
    <w:p>
      <w:pPr>
        <w:pStyle w:val="Heading2"/>
        <w:spacing w:after="140" w:before="280"/>
      </w:pPr>
      <w:r>
        <w:rPr>
          <w:rFonts w:ascii="Nirmala UI" w:cs="Nirmala UI" w:eastAsia="Nirmala UI" w:hAnsi="Nirmala UI"/>
          <w:b/>
          <w:bCs/>
          <w:color w:val="000000"/>
          <w:sz w:val="28"/>
          <w:szCs w:val="28"/>
        </w:rPr>
        <w:t xml:space="preserve">गतिविधि कोड 14  —  In-Bond निर्यात समेकन</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B22222" w:sz="4"/>
              <w:left w:val="single" w:color="B22222" w:sz="4"/>
              <w:bottom w:val="single" w:color="B22222" w:sz="4"/>
              <w:right w:val="single" w:color="B22222" w:sz="4"/>
            </w:tcBorders>
            <w:shd w:fill="B22222" w:color="auto" w:val="clear"/>
            <w:tcMar>
              <w:top w:type="dxa" w:w="100"/>
              <w:left w:type="dxa" w:w="140"/>
              <w:bottom w:type="dxa" w:w="100"/>
              <w:right w:type="dxa" w:w="140"/>
            </w:tcMar>
          </w:tcPr>
          <w:p>
            <w:pPr>
              <w:spacing w:after="40" w:before="40"/>
            </w:pPr>
            <w:r>
              <w:rPr>
                <w:rFonts w:ascii="Nirmala UI" w:cs="Nirmala UI" w:eastAsia="Nirmala UI" w:hAnsi="Nirmala UI"/>
                <w:b/>
                <w:bCs/>
                <w:color w:val="FFFFFF"/>
                <w:sz w:val="24"/>
                <w:szCs w:val="24"/>
              </w:rPr>
              <w:t xml:space="preserve">गतिविधि कोड 14  –  </w:t>
            </w:r>
            <w:r>
              <w:rPr>
                <w:rFonts w:ascii="Nirmala UI" w:cs="Nirmala UI" w:eastAsia="Nirmala UI" w:hAnsi="Nirmala UI"/>
                <w:b/>
                <w:bCs/>
                <w:color w:val="FFFFFF"/>
                <w:sz w:val="24"/>
                <w:szCs w:val="24"/>
              </w:rPr>
              <w:t xml:space="preserve">In-Bond निर्यात समेकन बॉन्ड</w:t>
            </w:r>
          </w:p>
        </w:tc>
      </w:tr>
      <w:tr>
        <w:tc>
          <w:tcPr>
            <w:tcW w:type="dxa" w:w="9360"/>
            <w:tcBorders>
              <w:top w:val="none" w:color="FFFFFF" w:sz="0"/>
              <w:left w:val="single" w:color="B22222" w:sz="4"/>
              <w:bottom w:val="single" w:color="B22222" w:sz="4"/>
              <w:right w:val="single" w:color="B22222" w:sz="4"/>
            </w:tcBorders>
            <w:shd w:fill="F7F1F1" w:color="auto" w:val="clear"/>
            <w:tcMar>
              <w:top w:type="dxa" w:w="100"/>
              <w:left w:type="dxa" w:w="140"/>
              <w:bottom w:type="dxa" w:w="100"/>
              <w:right w:type="dxa" w:w="140"/>
            </w:tcMar>
          </w:tcPr>
          <w:p>
            <w:pPr>
              <w:spacing w:after="30" w:before="30"/>
            </w:pPr>
            <w:r>
              <w:rPr>
                <w:rFonts w:ascii="Nirmala UI" w:cs="Nirmala UI" w:eastAsia="Nirmala UI" w:hAnsi="Nirmala UI"/>
                <w:b/>
                <w:bCs/>
                <w:color w:val="B22222"/>
                <w:sz w:val="20"/>
                <w:szCs w:val="20"/>
              </w:rPr>
              <w:t xml:space="preserve">जारी करने का प्रकार: </w:t>
            </w:r>
            <w:r>
              <w:rPr>
                <w:rFonts w:ascii="Mangal" w:cs="Mangal" w:eastAsia="Mangal" w:hAnsi="Mangal"/>
                <w:color w:val="000000"/>
                <w:sz w:val="20"/>
                <w:szCs w:val="20"/>
              </w:rPr>
              <w:t xml:space="preserve">ऐतिहासिक रूप से सतत (व्यावहारिक टिप्पणी देखें)</w:t>
            </w:r>
            <w:r>
              <w:rPr>
                <w:rFonts w:ascii="Mangal" w:cs="Mangal" w:eastAsia="Mangal" w:hAnsi="Mangal"/>
                <w:i/>
                <w:iCs/>
                <w:color w:val="555555"/>
                <w:sz w:val="18"/>
                <w:szCs w:val="18"/>
              </w:rPr>
              <w:t xml:space="preserve">     |     विधिक आधार: ऐतिहासिक; बंदरगाह-निदेशक से परामर्श लें</w:t>
            </w:r>
          </w:p>
        </w:tc>
      </w:tr>
      <w:tr>
        <w:tc>
          <w:tcPr>
            <w:tcW w:type="dxa" w:w="9360"/>
            <w:tcBorders>
              <w:top w:val="none" w:color="FFFFFF" w:sz="0"/>
              <w:left w:val="single" w:color="B22222" w:sz="4"/>
              <w:bottom w:val="single" w:color="B22222" w:sz="4"/>
              <w:right w:val="single" w:color="B22222" w:sz="4"/>
            </w:tcBorders>
            <w:shd w:fill="FFFFFF" w:color="auto" w:val="clear"/>
            <w:tcMar>
              <w:top w:type="dxa" w:w="100"/>
              <w:left w:type="dxa" w:w="140"/>
              <w:bottom w:type="dxa" w:w="100"/>
              <w:right w:type="dxa" w:w="140"/>
            </w:tcMar>
          </w:tcPr>
          <w:p>
            <w:pPr>
              <w:spacing w:after="60" w:before="40" w:line="330"/>
              <w:jc w:val="both"/>
            </w:pPr>
            <w:r>
              <w:rPr>
                <w:rFonts w:ascii="Mangal" w:cs="Mangal" w:eastAsia="Mangal" w:hAnsi="Mangal"/>
                <w:color w:val="000000"/>
                <w:sz w:val="21"/>
                <w:szCs w:val="21"/>
              </w:rPr>
              <w:t xml:space="preserve">मूलतः उन पक्षों द्वारा जारी किया जाता था जो बॉन्ड-अंतर्गत निर्यात-गंतव्य माल का समेकन करते थे। CBP ने 2022 में कोड 14 का नित्य उपयोग समाप्त कर दिया, और अब यह कोड मानक Form 301 प्रस्तुति में स्वीकार नहीं किया जाता; तथापि, यह स्लॉट अब भी CBP की गतिविधि-कोड तालिका में बना हुआ है तथा पुरातन बॉन्डों एवं ऐतिहासिक दावों में उद्धृत हो सकता है।</w:t>
            </w:r>
          </w:p>
          <w:p>
            <w:pPr>
              <w:spacing w:after="60" w:before="40" w:line="330"/>
              <w:jc w:val="both"/>
            </w:pPr>
            <w:r>
              <w:rPr>
                <w:rFonts w:ascii="Mangal" w:cs="Mangal" w:eastAsia="Mangal" w:hAnsi="Mangal"/>
                <w:color w:val="000000"/>
                <w:sz w:val="21"/>
                <w:szCs w:val="21"/>
              </w:rPr>
              <w:t xml:space="preserve">व्यावहारिक टिप्पणी: जिन ग्राहकों के पास कोड 14 की पुरातन देनदारियाँ हैं, उन्हें मूल बॉन्ड जिस बंदरगाह पर जारी हुआ था, वहाँ के बंदरगाह-निदेशक से समापन-मार्गदर्शन प्राप्त करना चाहिए।</w:t>
            </w:r>
          </w:p>
        </w:tc>
      </w:tr>
    </w:tbl>
    <w:p>
      <w:pPr>
        <w:pStyle w:val="Heading2"/>
        <w:spacing w:after="140" w:before="280"/>
      </w:pPr>
      <w:r>
        <w:rPr>
          <w:rFonts w:ascii="Nirmala UI" w:cs="Nirmala UI" w:eastAsia="Nirmala UI" w:hAnsi="Nirmala UI"/>
          <w:b/>
          <w:bCs/>
          <w:color w:val="000000"/>
          <w:sz w:val="28"/>
          <w:szCs w:val="28"/>
        </w:rPr>
        <w:t xml:space="preserve">गतिविधि कोड 15  —  बौद्धिक संपदा अधिकार (IPR) नमूना</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B22222" w:sz="4"/>
              <w:left w:val="single" w:color="B22222" w:sz="4"/>
              <w:bottom w:val="single" w:color="B22222" w:sz="4"/>
              <w:right w:val="single" w:color="B22222" w:sz="4"/>
            </w:tcBorders>
            <w:shd w:fill="B22222" w:color="auto" w:val="clear"/>
            <w:tcMar>
              <w:top w:type="dxa" w:w="100"/>
              <w:left w:type="dxa" w:w="140"/>
              <w:bottom w:type="dxa" w:w="100"/>
              <w:right w:type="dxa" w:w="140"/>
            </w:tcMar>
          </w:tcPr>
          <w:p>
            <w:pPr>
              <w:spacing w:after="40" w:before="40"/>
            </w:pPr>
            <w:r>
              <w:rPr>
                <w:rFonts w:ascii="Nirmala UI" w:cs="Nirmala UI" w:eastAsia="Nirmala UI" w:hAnsi="Nirmala UI"/>
                <w:b/>
                <w:bCs/>
                <w:color w:val="FFFFFF"/>
                <w:sz w:val="24"/>
                <w:szCs w:val="24"/>
              </w:rPr>
              <w:t xml:space="preserve">गतिविधि कोड 15  –  </w:t>
            </w:r>
            <w:r>
              <w:rPr>
                <w:rFonts w:ascii="Nirmala UI" w:cs="Nirmala UI" w:eastAsia="Nirmala UI" w:hAnsi="Nirmala UI"/>
                <w:b/>
                <w:bCs/>
                <w:color w:val="FFFFFF"/>
                <w:sz w:val="24"/>
                <w:szCs w:val="24"/>
              </w:rPr>
              <w:t xml:space="preserve">IPR नमूना बॉन्ड</w:t>
            </w:r>
          </w:p>
        </w:tc>
      </w:tr>
      <w:tr>
        <w:tc>
          <w:tcPr>
            <w:tcW w:type="dxa" w:w="9360"/>
            <w:tcBorders>
              <w:top w:val="none" w:color="FFFFFF" w:sz="0"/>
              <w:left w:val="single" w:color="B22222" w:sz="4"/>
              <w:bottom w:val="single" w:color="B22222" w:sz="4"/>
              <w:right w:val="single" w:color="B22222" w:sz="4"/>
            </w:tcBorders>
            <w:shd w:fill="F7F1F1" w:color="auto" w:val="clear"/>
            <w:tcMar>
              <w:top w:type="dxa" w:w="100"/>
              <w:left w:type="dxa" w:w="140"/>
              <w:bottom w:type="dxa" w:w="100"/>
              <w:right w:type="dxa" w:w="140"/>
            </w:tcMar>
          </w:tcPr>
          <w:p>
            <w:pPr>
              <w:spacing w:after="30" w:before="30"/>
            </w:pPr>
            <w:r>
              <w:rPr>
                <w:rFonts w:ascii="Nirmala UI" w:cs="Nirmala UI" w:eastAsia="Nirmala UI" w:hAnsi="Nirmala UI"/>
                <w:b/>
                <w:bCs/>
                <w:color w:val="B22222"/>
                <w:sz w:val="20"/>
                <w:szCs w:val="20"/>
              </w:rPr>
              <w:t xml:space="preserve">जारी करने का प्रकार: </w:t>
            </w:r>
            <w:r>
              <w:rPr>
                <w:rFonts w:ascii="Mangal" w:cs="Mangal" w:eastAsia="Mangal" w:hAnsi="Mangal"/>
                <w:color w:val="000000"/>
                <w:sz w:val="20"/>
                <w:szCs w:val="20"/>
              </w:rPr>
              <w:t xml:space="preserve">एकल-लेन-देन अथवा सतत</w:t>
            </w:r>
            <w:r>
              <w:rPr>
                <w:rFonts w:ascii="Mangal" w:cs="Mangal" w:eastAsia="Mangal" w:hAnsi="Mangal"/>
                <w:i/>
                <w:iCs/>
                <w:color w:val="555555"/>
                <w:sz w:val="18"/>
                <w:szCs w:val="18"/>
              </w:rPr>
              <w:t xml:space="preserve">     |     विधिक आधार: 19 CFR § 133.21 एवं तत्पश्चात्</w:t>
            </w:r>
          </w:p>
        </w:tc>
      </w:tr>
      <w:tr>
        <w:tc>
          <w:tcPr>
            <w:tcW w:type="dxa" w:w="9360"/>
            <w:tcBorders>
              <w:top w:val="none" w:color="FFFFFF" w:sz="0"/>
              <w:left w:val="single" w:color="B22222" w:sz="4"/>
              <w:bottom w:val="single" w:color="B22222" w:sz="4"/>
              <w:right w:val="single" w:color="B22222" w:sz="4"/>
            </w:tcBorders>
            <w:shd w:fill="FFFFFF" w:color="auto" w:val="clear"/>
            <w:tcMar>
              <w:top w:type="dxa" w:w="100"/>
              <w:left w:type="dxa" w:w="140"/>
              <w:bottom w:type="dxa" w:w="100"/>
              <w:right w:type="dxa" w:w="140"/>
            </w:tcMar>
          </w:tcPr>
          <w:p>
            <w:pPr>
              <w:spacing w:after="60" w:before="40" w:line="330"/>
              <w:jc w:val="both"/>
            </w:pPr>
            <w:r>
              <w:rPr>
                <w:rFonts w:ascii="Mangal" w:cs="Mangal" w:eastAsia="Mangal" w:hAnsi="Mangal"/>
                <w:color w:val="000000"/>
                <w:sz w:val="21"/>
                <w:szCs w:val="21"/>
              </w:rPr>
              <w:t xml:space="preserve">उस ट्रेडमार्क, ट्रेडनाम अथवा कॉपीराइट स्वामी (“अधिकार-स्वामी”) द्वारा जारी किया जाता है जो CBP द्वारा अवरुद्ध अथवा ज़ब्त माल का नमूना — संदिग्ध उल्लंघन की जाँच हेतु — प्राप्त करना चाहता है। यह बॉन्ड CBP तथा माल के आयातक/स्वामी को अधिकार-स्वामी को नमूना दिए जाने से उत्पन्न होने वाली समस्त हानियों से सुरक्षित करता है।</w:t>
            </w:r>
          </w:p>
          <w:p>
            <w:pPr>
              <w:spacing w:after="60" w:before="40" w:line="330"/>
              <w:jc w:val="both"/>
            </w:pPr>
            <w:r>
              <w:rPr>
                <w:rFonts w:ascii="Mangal" w:cs="Mangal" w:eastAsia="Mangal" w:hAnsi="Mangal"/>
                <w:color w:val="000000"/>
                <w:sz w:val="21"/>
                <w:szCs w:val="21"/>
              </w:rPr>
              <w:t xml:space="preserve">ऐतिहासिक रूप से यह केवल एकल-लेन-देन के रूप में जारी होता था; अब CBP सतत कोड 15 बॉन्ड को भी मान्यता देता है — जो एक ही उपकरण के अंतर्गत प्रत्येक प्रवेश-बंदरगाह पर अनेक IPR नमूना-लेन-देनों को आच्छादित करता है तथा सक्रिय ब्रांड-संरक्षण कार्यक्रम वाले अधिकार-स्वामियों के लिए अत्यंत सक्षमकारी है।</w:t>
            </w:r>
          </w:p>
          <w:p>
            <w:pPr>
              <w:spacing w:after="60" w:before="40" w:line="330"/>
              <w:jc w:val="both"/>
            </w:pPr>
            <w:r>
              <w:rPr>
                <w:rFonts w:ascii="Mangal" w:cs="Mangal" w:eastAsia="Mangal" w:hAnsi="Mangal"/>
                <w:color w:val="000000"/>
                <w:sz w:val="21"/>
                <w:szCs w:val="21"/>
              </w:rPr>
              <w:t xml:space="preserve">CBP Form 301 पर कोड 15 अब भी उस बंदरगाह-निदेशक के साथ समन्वय की अपेक्षा करता है जहाँ बॉन्ड जारी होना है।</w:t>
            </w:r>
          </w:p>
        </w:tc>
      </w:tr>
    </w:tbl>
    <w:p>
      <w:pPr>
        <w:pStyle w:val="Heading2"/>
        <w:spacing w:after="140" w:before="280"/>
      </w:pPr>
      <w:r>
        <w:rPr>
          <w:rFonts w:ascii="Nirmala UI" w:cs="Nirmala UI" w:eastAsia="Nirmala UI" w:hAnsi="Nirmala UI"/>
          <w:b/>
          <w:bCs/>
          <w:color w:val="000000"/>
          <w:sz w:val="28"/>
          <w:szCs w:val="28"/>
        </w:rPr>
        <w:t xml:space="preserve">गतिविधि कोड 16  —  Importer Security Filing (ISF / 10+2)</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B22222" w:sz="4"/>
              <w:left w:val="single" w:color="B22222" w:sz="4"/>
              <w:bottom w:val="single" w:color="B22222" w:sz="4"/>
              <w:right w:val="single" w:color="B22222" w:sz="4"/>
            </w:tcBorders>
            <w:shd w:fill="B22222" w:color="auto" w:val="clear"/>
            <w:tcMar>
              <w:top w:type="dxa" w:w="100"/>
              <w:left w:type="dxa" w:w="140"/>
              <w:bottom w:type="dxa" w:w="100"/>
              <w:right w:type="dxa" w:w="140"/>
            </w:tcMar>
          </w:tcPr>
          <w:p>
            <w:pPr>
              <w:spacing w:after="40" w:before="40"/>
            </w:pPr>
            <w:r>
              <w:rPr>
                <w:rFonts w:ascii="Nirmala UI" w:cs="Nirmala UI" w:eastAsia="Nirmala UI" w:hAnsi="Nirmala UI"/>
                <w:b/>
                <w:bCs/>
                <w:color w:val="FFFFFF"/>
                <w:sz w:val="24"/>
                <w:szCs w:val="24"/>
              </w:rPr>
              <w:t xml:space="preserve">गतिविधि कोड 16  –  </w:t>
            </w:r>
            <w:r>
              <w:rPr>
                <w:rFonts w:ascii="Nirmala UI" w:cs="Nirmala UI" w:eastAsia="Nirmala UI" w:hAnsi="Nirmala UI"/>
                <w:b/>
                <w:bCs/>
                <w:color w:val="FFFFFF"/>
                <w:sz w:val="24"/>
                <w:szCs w:val="24"/>
              </w:rPr>
              <w:t xml:space="preserve">Importer Security Filing बॉन्ड</w:t>
            </w:r>
          </w:p>
        </w:tc>
      </w:tr>
      <w:tr>
        <w:tc>
          <w:tcPr>
            <w:tcW w:type="dxa" w:w="9360"/>
            <w:tcBorders>
              <w:top w:val="none" w:color="FFFFFF" w:sz="0"/>
              <w:left w:val="single" w:color="B22222" w:sz="4"/>
              <w:bottom w:val="single" w:color="B22222" w:sz="4"/>
              <w:right w:val="single" w:color="B22222" w:sz="4"/>
            </w:tcBorders>
            <w:shd w:fill="F7F1F1" w:color="auto" w:val="clear"/>
            <w:tcMar>
              <w:top w:type="dxa" w:w="100"/>
              <w:left w:type="dxa" w:w="140"/>
              <w:bottom w:type="dxa" w:w="100"/>
              <w:right w:type="dxa" w:w="140"/>
            </w:tcMar>
          </w:tcPr>
          <w:p>
            <w:pPr>
              <w:spacing w:after="30" w:before="30"/>
            </w:pPr>
            <w:r>
              <w:rPr>
                <w:rFonts w:ascii="Nirmala UI" w:cs="Nirmala UI" w:eastAsia="Nirmala UI" w:hAnsi="Nirmala UI"/>
                <w:b/>
                <w:bCs/>
                <w:color w:val="B22222"/>
                <w:sz w:val="20"/>
                <w:szCs w:val="20"/>
              </w:rPr>
              <w:t xml:space="preserve">जारी करने का प्रकार: </w:t>
            </w:r>
            <w:r>
              <w:rPr>
                <w:rFonts w:ascii="Mangal" w:cs="Mangal" w:eastAsia="Mangal" w:hAnsi="Mangal"/>
                <w:color w:val="000000"/>
                <w:sz w:val="20"/>
                <w:szCs w:val="20"/>
              </w:rPr>
              <w:t xml:space="preserve">एकल-लेन-देन अथवा सतत (अथवा कोड 1 में अंतर्निहित)</w:t>
            </w:r>
            <w:r>
              <w:rPr>
                <w:rFonts w:ascii="Mangal" w:cs="Mangal" w:eastAsia="Mangal" w:hAnsi="Mangal"/>
                <w:i/>
                <w:iCs/>
                <w:color w:val="555555"/>
                <w:sz w:val="18"/>
                <w:szCs w:val="18"/>
              </w:rPr>
              <w:t xml:space="preserve">     |     विधिक आधार: 19 CFR § 149.5</w:t>
            </w:r>
          </w:p>
        </w:tc>
      </w:tr>
      <w:tr>
        <w:tc>
          <w:tcPr>
            <w:tcW w:type="dxa" w:w="9360"/>
            <w:tcBorders>
              <w:top w:val="none" w:color="FFFFFF" w:sz="0"/>
              <w:left w:val="single" w:color="B22222" w:sz="4"/>
              <w:bottom w:val="single" w:color="B22222" w:sz="4"/>
              <w:right w:val="single" w:color="B22222" w:sz="4"/>
            </w:tcBorders>
            <w:shd w:fill="FFFFFF" w:color="auto" w:val="clear"/>
            <w:tcMar>
              <w:top w:type="dxa" w:w="100"/>
              <w:left w:type="dxa" w:w="140"/>
              <w:bottom w:type="dxa" w:w="100"/>
              <w:right w:type="dxa" w:w="140"/>
            </w:tcMar>
          </w:tcPr>
          <w:p>
            <w:pPr>
              <w:spacing w:after="60" w:before="40" w:line="330"/>
              <w:jc w:val="both"/>
            </w:pPr>
            <w:r>
              <w:rPr>
                <w:rFonts w:ascii="Mangal" w:cs="Mangal" w:eastAsia="Mangal" w:hAnsi="Mangal"/>
                <w:color w:val="000000"/>
                <w:sz w:val="21"/>
                <w:szCs w:val="21"/>
              </w:rPr>
              <w:t xml:space="preserve">आयातक के इस दायित्व की प्रत्याभूति के लिए जारी किया जाता है कि वह समुद्र-जनित माल पर “Importer Security Filing” के डेटा तत्व (अर्थात् ‘9+2 अथवा 10+2’) सटीक एवं समय पर प्रेषित करेगा। ISF विदेशी बंदरगाह पर लदान से कम-से-कम 24 घंटे पूर्व प्रस्तुत किया जाना चाहिए; पूर्ण एवं समयबद्ध प्रस्तुति न होने पर आयातक पर परिनिर्धारित-हर्जाने का दायित्व आता है, जिसकी प्रत्याभूति बॉन्ड-राशि की सीमा तक प्रत्याभू देता है।</w:t>
            </w:r>
          </w:p>
          <w:p>
            <w:pPr>
              <w:spacing w:after="60" w:before="40" w:line="330"/>
              <w:jc w:val="both"/>
            </w:pPr>
            <w:r>
              <w:rPr>
                <w:rFonts w:ascii="Mangal" w:cs="Mangal" w:eastAsia="Mangal" w:hAnsi="Mangal"/>
                <w:color w:val="000000"/>
                <w:sz w:val="21"/>
                <w:szCs w:val="21"/>
              </w:rPr>
              <w:t xml:space="preserve">अधिकांश आयातक अपने सतत कोड 1 बॉन्ड के माध्यम से कोड 16 के दायित्व को परोक्ष रूप से पूरा कर लेते हैं, क्योंकि सतत कोड 1 ISF आवरण को अंतर्निहित करता है। स्वतंत्र कोड 16 प्रस्तुति प्रायः उन पक्षों द्वारा होती है जो स्वयं अभिलिखित आयातक नहीं हैं अथवा जो प्रतिनिधि-क्षमता में ISF प्रस्तोता हैं। स्वतंत्र एकल-लेन-देन ISF बॉन्ड भी उपलब्ध है।</w:t>
            </w:r>
          </w:p>
        </w:tc>
      </w:tr>
    </w:tbl>
    <w:p>
      <w:pPr>
        <w:pStyle w:val="Heading2"/>
        <w:spacing w:after="140" w:before="280"/>
      </w:pPr>
      <w:r>
        <w:rPr>
          <w:rFonts w:ascii="Nirmala UI" w:cs="Nirmala UI" w:eastAsia="Nirmala UI" w:hAnsi="Nirmala UI"/>
          <w:b/>
          <w:bCs/>
          <w:color w:val="000000"/>
          <w:sz w:val="28"/>
          <w:szCs w:val="28"/>
        </w:rPr>
        <w:t xml:space="preserve">गतिविधि कोड 17  —  समुद्री टर्मिनल संचालक</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B22222" w:sz="4"/>
              <w:left w:val="single" w:color="B22222" w:sz="4"/>
              <w:bottom w:val="single" w:color="B22222" w:sz="4"/>
              <w:right w:val="single" w:color="B22222" w:sz="4"/>
            </w:tcBorders>
            <w:shd w:fill="B22222" w:color="auto" w:val="clear"/>
            <w:tcMar>
              <w:top w:type="dxa" w:w="100"/>
              <w:left w:type="dxa" w:w="140"/>
              <w:bottom w:type="dxa" w:w="100"/>
              <w:right w:type="dxa" w:w="140"/>
            </w:tcMar>
          </w:tcPr>
          <w:p>
            <w:pPr>
              <w:spacing w:after="40" w:before="40"/>
            </w:pPr>
            <w:r>
              <w:rPr>
                <w:rFonts w:ascii="Nirmala UI" w:cs="Nirmala UI" w:eastAsia="Nirmala UI" w:hAnsi="Nirmala UI"/>
                <w:b/>
                <w:bCs/>
                <w:color w:val="FFFFFF"/>
                <w:sz w:val="24"/>
                <w:szCs w:val="24"/>
              </w:rPr>
              <w:t xml:space="preserve">गतिविधि कोड 17  –  </w:t>
            </w:r>
            <w:r>
              <w:rPr>
                <w:rFonts w:ascii="Nirmala UI" w:cs="Nirmala UI" w:eastAsia="Nirmala UI" w:hAnsi="Nirmala UI"/>
                <w:b/>
                <w:bCs/>
                <w:color w:val="FFFFFF"/>
                <w:sz w:val="24"/>
                <w:szCs w:val="24"/>
              </w:rPr>
              <w:t xml:space="preserve">समुद्री टर्मिनल संचालक बॉन्ड</w:t>
            </w:r>
          </w:p>
        </w:tc>
      </w:tr>
      <w:tr>
        <w:tc>
          <w:tcPr>
            <w:tcW w:type="dxa" w:w="9360"/>
            <w:tcBorders>
              <w:top w:val="none" w:color="FFFFFF" w:sz="0"/>
              <w:left w:val="single" w:color="B22222" w:sz="4"/>
              <w:bottom w:val="single" w:color="B22222" w:sz="4"/>
              <w:right w:val="single" w:color="B22222" w:sz="4"/>
            </w:tcBorders>
            <w:shd w:fill="F7F1F1" w:color="auto" w:val="clear"/>
            <w:tcMar>
              <w:top w:type="dxa" w:w="100"/>
              <w:left w:type="dxa" w:w="140"/>
              <w:bottom w:type="dxa" w:w="100"/>
              <w:right w:type="dxa" w:w="140"/>
            </w:tcMar>
          </w:tcPr>
          <w:p>
            <w:pPr>
              <w:spacing w:after="30" w:before="30"/>
            </w:pPr>
            <w:r>
              <w:rPr>
                <w:rFonts w:ascii="Nirmala UI" w:cs="Nirmala UI" w:eastAsia="Nirmala UI" w:hAnsi="Nirmala UI"/>
                <w:b/>
                <w:bCs/>
                <w:color w:val="B22222"/>
                <w:sz w:val="20"/>
                <w:szCs w:val="20"/>
              </w:rPr>
              <w:t xml:space="preserve">जारी करने का प्रकार: </w:t>
            </w:r>
            <w:r>
              <w:rPr>
                <w:rFonts w:ascii="Mangal" w:cs="Mangal" w:eastAsia="Mangal" w:hAnsi="Mangal"/>
                <w:color w:val="000000"/>
                <w:sz w:val="20"/>
                <w:szCs w:val="20"/>
              </w:rPr>
              <w:t xml:space="preserve">केवल सतत</w:t>
            </w:r>
            <w:r>
              <w:rPr>
                <w:rFonts w:ascii="Mangal" w:cs="Mangal" w:eastAsia="Mangal" w:hAnsi="Mangal"/>
                <w:i/>
                <w:iCs/>
                <w:color w:val="555555"/>
                <w:sz w:val="18"/>
                <w:szCs w:val="18"/>
              </w:rPr>
              <w:t xml:space="preserve">     |     विधिक आधार: Customs Bull. &amp; Decisions, Vol. 40, No. 52 (20 दिसंबर 2006)</w:t>
            </w:r>
          </w:p>
        </w:tc>
      </w:tr>
      <w:tr>
        <w:tc>
          <w:tcPr>
            <w:tcW w:type="dxa" w:w="9360"/>
            <w:tcBorders>
              <w:top w:val="none" w:color="FFFFFF" w:sz="0"/>
              <w:left w:val="single" w:color="B22222" w:sz="4"/>
              <w:bottom w:val="single" w:color="B22222" w:sz="4"/>
              <w:right w:val="single" w:color="B22222" w:sz="4"/>
            </w:tcBorders>
            <w:shd w:fill="FFFFFF" w:color="auto" w:val="clear"/>
            <w:tcMar>
              <w:top w:type="dxa" w:w="100"/>
              <w:left w:type="dxa" w:w="140"/>
              <w:bottom w:type="dxa" w:w="100"/>
              <w:right w:type="dxa" w:w="140"/>
            </w:tcMar>
          </w:tcPr>
          <w:p>
            <w:pPr>
              <w:spacing w:after="60" w:before="40" w:line="330"/>
              <w:jc w:val="both"/>
            </w:pPr>
            <w:r>
              <w:rPr>
                <w:rFonts w:ascii="Mangal" w:cs="Mangal" w:eastAsia="Mangal" w:hAnsi="Mangal"/>
                <w:color w:val="000000"/>
                <w:sz w:val="21"/>
                <w:szCs w:val="21"/>
              </w:rPr>
              <w:t xml:space="preserve">अमेरिकी समुद्र-बंदरगाह पर अंतरराष्ट्रीय माल का प्रबंधन करने वाले समुद्री टर्मिनल संचालक द्वारा जारी किया जाता है। यह बॉन्ड CBP के टर्मिनल-संचालक विनियमों — माल-लेखाकरण, धारण एवं निर्गमन, पुनः-सुपुर्दगी, तथा संचालक के अभिलेखन एवं प्रतिवेदन दायित्वों — के अनुपालन की प्रत्याभूति देता है।</w:t>
            </w:r>
          </w:p>
          <w:p>
            <w:pPr>
              <w:spacing w:after="60" w:before="40" w:line="330"/>
              <w:jc w:val="both"/>
            </w:pPr>
            <w:r>
              <w:rPr>
                <w:rFonts w:ascii="Mangal" w:cs="Mangal" w:eastAsia="Mangal" w:hAnsi="Mangal"/>
                <w:color w:val="000000"/>
                <w:sz w:val="21"/>
                <w:szCs w:val="21"/>
              </w:rPr>
              <w:t xml:space="preserve">इसकी शर्तें Customs Bulletin and Decisions, Vol. 40, No. 52 (20 दिसंबर 2006), पृ. 7 के “Notice of Specific Instruction” में निर्धारित हैं। CBP Form 301 कोड 17 के लिए प्रयुक्त नहीं होता; पृथक् समुद्री टर्मिनल संचालक बॉन्ड-उपकरण अपेक्षित है।</w:t>
            </w:r>
          </w:p>
        </w:tc>
      </w:tr>
    </w:tbl>
    <w:p>
      <w:pPr>
        <w:pStyle w:val="Heading1"/>
        <w:pageBreakBefore/>
        <w:pBdr>
          <w:bottom w:val="single" w:color="B22222" w:sz="12" w:space="4"/>
        </w:pBdr>
        <w:spacing w:after="240" w:before="240"/>
      </w:pPr>
      <w:r>
        <w:rPr>
          <w:rFonts w:ascii="Nirmala UI" w:cs="Nirmala UI" w:eastAsia="Nirmala UI" w:hAnsi="Nirmala UI"/>
          <w:b/>
          <w:bCs/>
          <w:color w:val="B22222"/>
          <w:sz w:val="36"/>
          <w:szCs w:val="36"/>
        </w:rPr>
        <w:t xml:space="preserve">भाग III  —  अंडरराइटिंग, प्रस्तुति एवं जीवन-चक्र</w:t>
      </w:r>
    </w:p>
    <w:p>
      <w:pPr>
        <w:pStyle w:val="Heading2"/>
        <w:spacing w:after="140" w:before="280"/>
      </w:pPr>
      <w:r>
        <w:rPr>
          <w:rFonts w:ascii="Nirmala UI" w:cs="Nirmala UI" w:eastAsia="Nirmala UI" w:hAnsi="Nirmala UI"/>
          <w:b/>
          <w:bCs/>
          <w:color w:val="000000"/>
          <w:sz w:val="28"/>
          <w:szCs w:val="28"/>
        </w:rPr>
        <w:t xml:space="preserve">आवेदन-दस्तावेज़</w:t>
      </w:r>
    </w:p>
    <w:p>
      <w:pPr>
        <w:spacing w:after="140" w:line="340"/>
        <w:jc w:val="both"/>
      </w:pPr>
      <w:r>
        <w:rPr>
          <w:rFonts w:ascii="Mangal" w:cs="Mangal" w:eastAsia="Mangal" w:hAnsi="Mangal"/>
          <w:color w:val="000000"/>
          <w:sz w:val="22"/>
          <w:szCs w:val="22"/>
        </w:rPr>
        <w:t xml:space="preserve">सीमा शुल्क बॉन्ड के अंडरराइटिंग हेतु Surety One सामान्यतः निम्नलिखित दस्तावेज़ अपेक्षित करता है:</w:t>
      </w:r>
    </w:p>
    <w:p>
      <w:pPr>
        <w:pStyle w:val="ListParagraph"/>
        <w:numPr>
          <w:ilvl w:val="0"/>
          <w:numId w:val="2"/>
        </w:numPr>
        <w:spacing w:after="80" w:line="340"/>
      </w:pPr>
      <w:r>
        <w:rPr>
          <w:rFonts w:ascii="Mangal" w:cs="Mangal" w:eastAsia="Mangal" w:hAnsi="Mangal"/>
          <w:color w:val="000000"/>
          <w:sz w:val="22"/>
          <w:szCs w:val="22"/>
        </w:rPr>
        <w:t xml:space="preserve">पूर्ण-भरा सीमा शुल्क बॉन्ड आवेदन-पत्र जिसमें मुख्य देनदार, गतिविधि कोड, जारी करने का प्रकार (सतत अथवा एकल-लेन-देन), दंडात्मक राशि, मुख्य देनदार का CBP-निर्गत पहचान-क्रमांक तथा बॉन्ड का प्रभावी दिनांक उल्लिखित हो।</w:t>
      </w:r>
    </w:p>
    <w:p>
      <w:pPr>
        <w:pStyle w:val="ListParagraph"/>
        <w:numPr>
          <w:ilvl w:val="0"/>
          <w:numId w:val="2"/>
        </w:numPr>
        <w:spacing w:after="80" w:line="340"/>
      </w:pPr>
      <w:r>
        <w:rPr>
          <w:rFonts w:ascii="Mangal" w:cs="Mangal" w:eastAsia="Mangal" w:hAnsi="Mangal"/>
          <w:color w:val="000000"/>
          <w:sz w:val="22"/>
          <w:szCs w:val="22"/>
        </w:rPr>
        <w:t xml:space="preserve">मुख्य देनदार तथा यथा-स्थिति उसके व्यक्तिगत स्वामियों की उपभोक्ता-साख एवं वाणिज्यिक-साख जानकारी प्राप्त करने का प्राधिकार-पत्र।</w:t>
      </w:r>
    </w:p>
    <w:p>
      <w:pPr>
        <w:pStyle w:val="ListParagraph"/>
        <w:numPr>
          <w:ilvl w:val="0"/>
          <w:numId w:val="2"/>
        </w:numPr>
        <w:spacing w:after="80" w:line="340"/>
      </w:pPr>
      <w:r>
        <w:rPr>
          <w:rFonts w:ascii="Mangal" w:cs="Mangal" w:eastAsia="Mangal" w:hAnsi="Mangal"/>
          <w:color w:val="000000"/>
          <w:sz w:val="22"/>
          <w:szCs w:val="22"/>
        </w:rPr>
        <w:t xml:space="preserve">मुख्य देनदार के नवीनतम व्यवसाय-वित्तीय विवरण; लघु आकार के मुख्य देनदारों के लिए स्वामी के व्यक्तिगत वित्तीय विवरण एवं कर-विवरणियाँ भी माँगी जा सकती हैं।</w:t>
      </w:r>
    </w:p>
    <w:p>
      <w:pPr>
        <w:pStyle w:val="ListParagraph"/>
        <w:numPr>
          <w:ilvl w:val="0"/>
          <w:numId w:val="2"/>
        </w:numPr>
        <w:spacing w:after="80" w:line="340"/>
      </w:pPr>
      <w:r>
        <w:rPr>
          <w:rFonts w:ascii="Mangal" w:cs="Mangal" w:eastAsia="Mangal" w:hAnsi="Mangal"/>
          <w:color w:val="000000"/>
          <w:sz w:val="22"/>
          <w:szCs w:val="22"/>
        </w:rPr>
        <w:t xml:space="preserve">मुख्य देनदार की गतिविधि का विवरण: आयातक-वर्ग एवं माल का प्रकार, संरक्षण-गतिविधि का विस्तार, FTZ throughput, परिवाहक का परिवाहन-साधन-प्रकार अथवा कोड के अनुरूप अन्य विशिष्ट विवरण।</w:t>
      </w:r>
    </w:p>
    <w:p>
      <w:pPr>
        <w:pStyle w:val="ListParagraph"/>
        <w:numPr>
          <w:ilvl w:val="0"/>
          <w:numId w:val="2"/>
        </w:numPr>
        <w:spacing w:after="80" w:line="340"/>
      </w:pPr>
      <w:r>
        <w:rPr>
          <w:rFonts w:ascii="Mangal" w:cs="Mangal" w:eastAsia="Mangal" w:hAnsi="Mangal"/>
          <w:color w:val="000000"/>
          <w:sz w:val="22"/>
          <w:szCs w:val="22"/>
        </w:rPr>
        <w:t xml:space="preserve">पूर्व-वर्ष में भुगतान किए गए शुल्क, करों एवं प्रभारों का इतिहास (कोड 1 के परिमाणन हेतु) अथवा अन्य कोडों हेतु तुल्य अनावरण-डेटा।</w:t>
      </w:r>
    </w:p>
    <w:p>
      <w:pPr>
        <w:pStyle w:val="Heading2"/>
        <w:spacing w:after="140" w:before="280"/>
      </w:pPr>
      <w:r>
        <w:rPr>
          <w:rFonts w:ascii="Nirmala UI" w:cs="Nirmala UI" w:eastAsia="Nirmala UI" w:hAnsi="Nirmala UI"/>
          <w:b/>
          <w:bCs/>
          <w:color w:val="000000"/>
          <w:sz w:val="28"/>
          <w:szCs w:val="28"/>
        </w:rPr>
        <w:t xml:space="preserve">प्रस्तुति की कार्य-प्रणाली</w:t>
      </w:r>
    </w:p>
    <w:p>
      <w:pPr>
        <w:spacing w:after="140" w:line="340"/>
        <w:jc w:val="both"/>
      </w:pPr>
      <w:r>
        <w:rPr>
          <w:rFonts w:ascii="Mangal" w:cs="Mangal" w:eastAsia="Mangal" w:hAnsi="Mangal"/>
          <w:color w:val="000000"/>
          <w:sz w:val="22"/>
          <w:szCs w:val="22"/>
        </w:rPr>
        <w:t xml:space="preserve">अंडरराइटिंग के पश्चात् बॉन्ड पर मुख्य देनदार एवं प्रत्याभू द्वारा हस्ताक्षर किए जाते हैं, उसमें प्रत्याभू का त्रि-अंकीय राजकोष-कोड संलग्न किया जाता है, और तत्पश्चात् वह CBP को प्रेषित कर दिया जाता है। CBP अब सामान्यतः यह अपेक्षा करता है कि प्रत्याभू अथवा उसका अधिकृत अभिकर्ता बॉन्ड को अनुमोदित प्रेषण-तंत्र के माध्यम से इलेक्ट्रॉनिक रूप से प्रेषित करे। बॉन्ड उसके मुख-पृष्ठ पर अंकित दिनांक से प्रभावी होता है, बशर्ते वह दिनांक हस्ताक्षर-दिनांक पर अथवा उसके पश्चात् हो।</w:t>
      </w:r>
    </w:p>
    <w:p>
      <w:pPr>
        <w:pStyle w:val="Heading2"/>
        <w:spacing w:after="140" w:before="280"/>
      </w:pPr>
      <w:r>
        <w:rPr>
          <w:rFonts w:ascii="Nirmala UI" w:cs="Nirmala UI" w:eastAsia="Nirmala UI" w:hAnsi="Nirmala UI"/>
          <w:b/>
          <w:bCs/>
          <w:color w:val="000000"/>
          <w:sz w:val="28"/>
          <w:szCs w:val="28"/>
        </w:rPr>
        <w:t xml:space="preserve">सतत बॉन्ड का वर्ष एवं नवीनीकरण</w:t>
      </w:r>
    </w:p>
    <w:p>
      <w:pPr>
        <w:spacing w:after="140" w:line="340"/>
        <w:jc w:val="both"/>
      </w:pPr>
      <w:r>
        <w:rPr>
          <w:rFonts w:ascii="Mangal" w:cs="Mangal" w:eastAsia="Mangal" w:hAnsi="Mangal"/>
          <w:color w:val="000000"/>
          <w:sz w:val="22"/>
          <w:szCs w:val="22"/>
        </w:rPr>
        <w:t xml:space="preserve">कठोर अर्थों में सतत सीमा शुल्क बॉन्ड पारंपरिक रूप से ‘समाप्त’ नहीं होता — यह तब तक प्रभावी रहता है जब तक मुख्य देनदार द्वारा, अथवा CBP-सूचना के साथ प्रत्याभू द्वारा, अथवा स्वयं CBP द्वारा समाप्त न किया जाए। तथापि, व्यवहार में प्रीमियम वार्षिक आधार पर निर्धारित होता है तथा बॉन्ड की पर्याप्तता का प्रति-वर्ष पुनरीक्षण होता है। नवीनीकरण-काल पूर्व-वर्ष के वास्तविक शुल्क-इतिहास के प्रकाश में परिमाण के पुनः-मूल्यांकन का स्वाभाविक अवसर है; 2026 जैसे वर्ष में, जब IEEPA-संबंधी प्रशुल्क-अनावरण अनवृत्त हो रहे हैं, यह विशेष रूप से उपयुक्त है।</w:t>
      </w:r>
    </w:p>
    <w:p>
      <w:pPr>
        <w:pStyle w:val="Heading2"/>
        <w:spacing w:after="140" w:before="280"/>
      </w:pPr>
      <w:r>
        <w:rPr>
          <w:rFonts w:ascii="Nirmala UI" w:cs="Nirmala UI" w:eastAsia="Nirmala UI" w:hAnsi="Nirmala UI"/>
          <w:b/>
          <w:bCs/>
          <w:color w:val="000000"/>
          <w:sz w:val="28"/>
          <w:szCs w:val="28"/>
        </w:rPr>
        <w:t xml:space="preserve">अपर्याप्तता सूचना एवं सुधार</w:t>
      </w:r>
    </w:p>
    <w:p>
      <w:pPr>
        <w:spacing w:after="140" w:line="340"/>
        <w:jc w:val="both"/>
      </w:pPr>
      <w:r>
        <w:rPr>
          <w:rFonts w:ascii="Mangal" w:cs="Mangal" w:eastAsia="Mangal" w:hAnsi="Mangal"/>
          <w:color w:val="000000"/>
          <w:sz w:val="22"/>
          <w:szCs w:val="22"/>
        </w:rPr>
        <w:t xml:space="preserve">यदि CBP की समीक्षा यह निर्धारित करती है कि कोई सतत बॉन्ड अब राजस्व की पर्याप्त रक्षा नहीं करता, तो वह लिखित “अपर्याप्तता सूचना” जारी करता है। यह सूचना नया न्यूनतम स्वीकार्य परिमाण निर्दिष्ट करती है तथा मुख्य देनदार को नियत सुधार-अवधि प्रदान करती है। सुधार-अवधि में मुख्य देनदार को बड़े परिमाण का नया सतत बॉन्ड जारी कराना होता है। ऐसा न करने पर CBP वर्तमान बॉन्ड को निलंबित कर देता है तथा उसके अंतर्गत आगे प्रविष्टियाँ स्वीकार करने से इन्कार कर देता है। जब मुख्य देनदार की वित्तीय स्थिति बॉन्ड-कार्यक्रम का समर्थन करती है, तब सुधार सरल होता है; जब नहीं करती, तब अ-मानक कार्यक्रम अपना मूल्य सिद्ध करते हैं।</w:t>
      </w:r>
    </w:p>
    <w:p>
      <w:pPr>
        <w:pStyle w:val="Heading2"/>
        <w:spacing w:after="140" w:before="280"/>
      </w:pPr>
      <w:r>
        <w:rPr>
          <w:rFonts w:ascii="Nirmala UI" w:cs="Nirmala UI" w:eastAsia="Nirmala UI" w:hAnsi="Nirmala UI"/>
          <w:b/>
          <w:bCs/>
          <w:color w:val="000000"/>
          <w:sz w:val="28"/>
          <w:szCs w:val="28"/>
        </w:rPr>
        <w:t xml:space="preserve">राइडर (परिवर्तन-पत्र)</w:t>
      </w:r>
    </w:p>
    <w:p>
      <w:pPr>
        <w:spacing w:after="140" w:line="340"/>
        <w:jc w:val="both"/>
      </w:pPr>
      <w:r>
        <w:rPr>
          <w:rFonts w:ascii="Mangal" w:cs="Mangal" w:eastAsia="Mangal" w:hAnsi="Mangal"/>
          <w:color w:val="000000"/>
          <w:sz w:val="22"/>
          <w:szCs w:val="22"/>
        </w:rPr>
        <w:t xml:space="preserve">सीमा शुल्क बॉन्ड में अनेक परिवर्तन — नाम-परिवर्तन, पता-परिवर्तन, व्यापारिक-नामों का अंतर्ज्ञापन/अनुज्ञापन, सह-मुख्य देनदारों का सम्मिलन, बंदरगाह-कोड का परिवर्तन — नया बॉन्ड जारी किए बिना “राइडर” के माध्यम से किए जाते हैं। राइडर पर प्रत्याभू एवं मुख्य देनदार दोनों के हस्ताक्षर होते हैं तथा वह उसी प्रेषण-चैनल से CBP तक भेजा जाता है जिससे मूल बॉन्ड भेजा गया था।</w:t>
      </w:r>
    </w:p>
    <w:p>
      <w:pPr>
        <w:pStyle w:val="Heading2"/>
        <w:spacing w:after="140" w:before="280"/>
      </w:pPr>
      <w:r>
        <w:rPr>
          <w:rFonts w:ascii="Nirmala UI" w:cs="Nirmala UI" w:eastAsia="Nirmala UI" w:hAnsi="Nirmala UI"/>
          <w:b/>
          <w:bCs/>
          <w:color w:val="000000"/>
          <w:sz w:val="28"/>
          <w:szCs w:val="28"/>
        </w:rPr>
        <w:t xml:space="preserve">बॉन्ड की समाप्ति</w:t>
      </w:r>
    </w:p>
    <w:p>
      <w:pPr>
        <w:spacing w:after="140" w:line="340"/>
        <w:jc w:val="both"/>
      </w:pPr>
      <w:r>
        <w:rPr>
          <w:rFonts w:ascii="Mangal" w:cs="Mangal" w:eastAsia="Mangal" w:hAnsi="Mangal"/>
          <w:color w:val="000000"/>
          <w:sz w:val="22"/>
          <w:szCs w:val="22"/>
        </w:rPr>
        <w:t xml:space="preserve">सतत सीमा शुल्क बॉन्ड को मुख्य देनदार किसी भी समय CBP एवं प्रत्याभू को सूचना देकर समाप्त कर सकता है। प्रत्याभू भी स्वयं सूचना देकर समाप्ति कर सकता है, परन्तु निर्धारित “run-off अवधि” के अधीन, जिसके भीतर समाप्ति-दिनांक से पूर्व के लेन-देनों के लिए बॉन्ड का दायित्व बना रहता है। समाप्ति-पूर्व लेन-देनों का दायित्व समाप्ति-दिनांक के पश्चात् भी जीवित रहता है तथा अंतर्निहित प्रविष्टियों के परिनिर्धारित होने तथा किसी भी दावा/धन-वापसी चक्र के समापन तक चलता रहता है।</w:t>
      </w:r>
    </w:p>
    <w:p>
      <w:pPr>
        <w:pStyle w:val="Heading2"/>
        <w:spacing w:after="140" w:before="280"/>
      </w:pPr>
      <w:r>
        <w:rPr>
          <w:rFonts w:ascii="Nirmala UI" w:cs="Nirmala UI" w:eastAsia="Nirmala UI" w:hAnsi="Nirmala UI"/>
          <w:b/>
          <w:bCs/>
          <w:color w:val="000000"/>
          <w:sz w:val="28"/>
          <w:szCs w:val="28"/>
        </w:rPr>
        <w:t xml:space="preserve">दावे</w:t>
      </w:r>
    </w:p>
    <w:p>
      <w:pPr>
        <w:spacing w:after="140" w:line="340"/>
        <w:jc w:val="both"/>
      </w:pPr>
      <w:r>
        <w:rPr>
          <w:rFonts w:ascii="Mangal" w:cs="Mangal" w:eastAsia="Mangal" w:hAnsi="Mangal"/>
          <w:color w:val="000000"/>
          <w:sz w:val="22"/>
          <w:szCs w:val="22"/>
        </w:rPr>
        <w:t xml:space="preserve">सीमा शुल्क बॉन्ड के अंतर्गत दावा सामान्यतः CBP के परिनिर्धारित-हर्जाने की माँग से प्रारंभ होता है — उदाहरणार्थ, समय-पश्चात् ISF, असमर्थित drawback, बेहिसाब in-bond संचलन, अथवा प्रविष्टि-दस्तावेज़ की अनुपलब्धता। प्रत्याभू माँग की समीक्षा करता है, उपलब्ध रक्षाएँ प्रस्तुत करता है, और तत्पश्चात् या तो CBP के साथ निपटारा करता है अथवा बॉन्ड-राशि की सीमा तक भुगतान करता है। प्रत्याभू द्वारा किया गया भुगतान बॉन्ड-प्रारंभ पर मुख्य देनदार द्वारा हस्ताक्षरित सामान्य क्षतिपूर्ति-समझौते के अंतर्गत मुख्य देनदार से वसूली योग्य होता है। व्यवहार में सुप्रबंधित सीमा शुल्क बॉन्ड कार्यक्रम वर्षों तक बिना भुगतान-योग्य हानि के चल जाते हैं; अनुशासन की सच्ची कुंजी दावे की वार्ता में नहीं, अपितु CBP के साथ अग्रसक्रिय पत्र-व्यवहार में निहित है।</w:t>
      </w:r>
    </w:p>
    <w:p>
      <w:pPr>
        <w:pStyle w:val="Heading1"/>
        <w:pageBreakBefore/>
        <w:pBdr>
          <w:bottom w:val="single" w:color="B22222" w:sz="12" w:space="4"/>
        </w:pBdr>
        <w:spacing w:after="240" w:before="240"/>
      </w:pPr>
      <w:r>
        <w:rPr>
          <w:rFonts w:ascii="Nirmala UI" w:cs="Nirmala UI" w:eastAsia="Nirmala UI" w:hAnsi="Nirmala UI"/>
          <w:b/>
          <w:bCs/>
          <w:color w:val="B22222"/>
          <w:sz w:val="36"/>
          <w:szCs w:val="36"/>
        </w:rPr>
        <w:t xml:space="preserve">भाग IV  —  शब्दावली</w:t>
      </w:r>
    </w:p>
    <w:p>
      <w:pPr>
        <w:spacing w:after="140" w:line="340"/>
        <w:jc w:val="both"/>
      </w:pPr>
      <w:r>
        <w:rPr>
          <w:rFonts w:ascii="Mangal" w:cs="Mangal" w:eastAsia="Mangal" w:hAnsi="Mangal"/>
          <w:color w:val="000000"/>
          <w:sz w:val="22"/>
          <w:szCs w:val="22"/>
        </w:rPr>
        <w:t xml:space="preserve">निम्नलिखित शब्द इस मार्गदर्शिका में प्रयुक्त हैं तथा CBP, सीमा शुल्क दलालों एवं सीमा शुल्क परामर्शियों के साथ संवाद में आवर्ती होते हैं। परिभाषाएँ व्यावसायिक आयातक अथवा दलाल को ध्यान में रखकर लिखी गई हैं, न कि न्यायालयीय शब्दावली में।</w:t>
      </w:r>
    </w:p>
    <w:p>
      <w:pPr>
        <w:spacing w:after="80"/>
      </w:pPr>
      <w:r>
        <w:t xml:space="preserve"/>
      </w:r>
    </w:p>
    <w:p>
      <w:pPr>
        <w:spacing w:after="100" w:before="100" w:line="330"/>
        <w:ind w:left="360" w:hanging="360"/>
        <w:jc w:val="both"/>
      </w:pPr>
      <w:r>
        <w:rPr>
          <w:rFonts w:ascii="Nirmala UI" w:cs="Nirmala UI" w:eastAsia="Nirmala UI" w:hAnsi="Nirmala UI"/>
          <w:b/>
          <w:bCs/>
          <w:color w:val="B22222"/>
          <w:sz w:val="22"/>
          <w:szCs w:val="22"/>
        </w:rPr>
        <w:t xml:space="preserve">अपर्याप्तता सूचना (Insufficiency Notice).  </w:t>
      </w:r>
      <w:r>
        <w:rPr>
          <w:rFonts w:ascii="Mangal" w:cs="Mangal" w:eastAsia="Mangal" w:hAnsi="Mangal"/>
          <w:color w:val="000000"/>
          <w:sz w:val="22"/>
          <w:szCs w:val="22"/>
        </w:rPr>
        <w:t xml:space="preserve">CBP द्वारा लिखित निर्धारण कि वर्तमान सतत बॉन्ड अब राजस्व की पर्याप्त रक्षा नहीं करता, जिसके साथ नियत सुधार-अवधि होती है जिसमें मुख्य देनदार को बड़े परिमाण का प्रतिस्थापक बॉन्ड प्रस्तुत करना होगा।</w:t>
      </w:r>
    </w:p>
    <w:p>
      <w:pPr>
        <w:spacing w:after="100" w:before="100" w:line="330"/>
        <w:ind w:left="360" w:hanging="360"/>
        <w:jc w:val="both"/>
      </w:pPr>
      <w:r>
        <w:rPr>
          <w:rFonts w:ascii="Nirmala UI" w:cs="Nirmala UI" w:eastAsia="Nirmala UI" w:hAnsi="Nirmala UI"/>
          <w:b/>
          <w:bCs/>
          <w:color w:val="B22222"/>
          <w:sz w:val="22"/>
          <w:szCs w:val="22"/>
        </w:rPr>
        <w:t xml:space="preserve">अंतरराष्ट्रीय परिवहन उपकरण (IIT).  </w:t>
      </w:r>
      <w:r>
        <w:rPr>
          <w:rFonts w:ascii="Mangal" w:cs="Mangal" w:eastAsia="Mangal" w:hAnsi="Mangal"/>
          <w:color w:val="000000"/>
          <w:sz w:val="22"/>
          <w:szCs w:val="22"/>
        </w:rPr>
        <w:t xml:space="preserve">कंटेनर, लिफ़्ट-वैन, कार्गो-वैन, परिवहन टैंक, पैलेट तथा समान पुनःप्रयोज्य उपकरण। कोड 3A के अंतर्गत प्रत्याभूत।</w:t>
      </w:r>
    </w:p>
    <w:p>
      <w:pPr>
        <w:spacing w:after="100" w:before="100" w:line="330"/>
        <w:ind w:left="360" w:hanging="360"/>
        <w:jc w:val="both"/>
      </w:pPr>
      <w:r>
        <w:rPr>
          <w:rFonts w:ascii="Nirmala UI" w:cs="Nirmala UI" w:eastAsia="Nirmala UI" w:hAnsi="Nirmala UI"/>
          <w:b/>
          <w:bCs/>
          <w:color w:val="B22222"/>
          <w:sz w:val="22"/>
          <w:szCs w:val="22"/>
        </w:rPr>
        <w:t xml:space="preserve">अभिलिखित आयातक (IOR — Importer of Record).  </w:t>
      </w:r>
      <w:r>
        <w:rPr>
          <w:rFonts w:ascii="Mangal" w:cs="Mangal" w:eastAsia="Mangal" w:hAnsi="Mangal"/>
          <w:color w:val="000000"/>
          <w:sz w:val="22"/>
          <w:szCs w:val="22"/>
        </w:rPr>
        <w:t xml:space="preserve">वह पक्ष जो आयातित माल की प्रविष्टि तथा उस पर शुल्क, करों एवं प्रभारों के भुगतान के लिए CBP के समक्ष विधिक रूप से उत्तरदायी है। कोड 1 बॉन्ड का मुख्य देनदार।</w:t>
      </w:r>
    </w:p>
    <w:p>
      <w:pPr>
        <w:spacing w:after="100" w:before="100" w:line="330"/>
        <w:ind w:left="360" w:hanging="360"/>
        <w:jc w:val="both"/>
      </w:pPr>
      <w:r>
        <w:rPr>
          <w:rFonts w:ascii="Nirmala UI" w:cs="Nirmala UI" w:eastAsia="Nirmala UI" w:hAnsi="Nirmala UI"/>
          <w:b/>
          <w:bCs/>
          <w:color w:val="B22222"/>
          <w:sz w:val="22"/>
          <w:szCs w:val="22"/>
        </w:rPr>
        <w:t xml:space="preserve">आदेश 337 / ITC निष्कासन-आदेश (ITC Exclusion Order).  </w:t>
      </w:r>
      <w:r>
        <w:rPr>
          <w:rFonts w:ascii="Mangal" w:cs="Mangal" w:eastAsia="Mangal" w:hAnsi="Mangal"/>
          <w:color w:val="000000"/>
          <w:sz w:val="22"/>
          <w:szCs w:val="22"/>
        </w:rPr>
        <w:t xml:space="preserve">Tariff Act of 1930 की Section 337 के अधीन अमेरिकी अंतरराष्ट्रीय व्यापार आयोग द्वारा निर्गत आदेश जो निर्दिष्ट बौद्धिक संपदा अधिकारों के उल्लंघनकारी माल की प्रविष्टि का निषेध करता है। अनुमत “बॉन्ड-अंतर्गत प्रविष्टि” अवधि में कोड 12 के अंतर्गत प्रत्याभूत।</w:t>
      </w:r>
    </w:p>
    <w:p>
      <w:pPr>
        <w:spacing w:after="100" w:before="100" w:line="330"/>
        <w:ind w:left="360" w:hanging="360"/>
        <w:jc w:val="both"/>
      </w:pPr>
      <w:r>
        <w:rPr>
          <w:rFonts w:ascii="Nirmala UI" w:cs="Nirmala UI" w:eastAsia="Nirmala UI" w:hAnsi="Nirmala UI"/>
          <w:b/>
          <w:bCs/>
          <w:color w:val="B22222"/>
          <w:sz w:val="22"/>
          <w:szCs w:val="22"/>
        </w:rPr>
        <w:t xml:space="preserve">इलेक्ट्रॉनिक प्रेषण.  </w:t>
      </w:r>
      <w:r>
        <w:rPr>
          <w:rFonts w:ascii="Mangal" w:cs="Mangal" w:eastAsia="Mangal" w:hAnsi="Mangal"/>
          <w:color w:val="000000"/>
          <w:sz w:val="22"/>
          <w:szCs w:val="22"/>
        </w:rPr>
        <w:t xml:space="preserve">अनुमोदित प्रेषण-तंत्र के माध्यम से बॉन्ड का CBP को इलेक्ट्रॉनिक रूप से प्रस्तुतीकरण। वर्तमान CBP विनियम के अनुसार सामान्य अनिवार्यता।</w:t>
      </w:r>
    </w:p>
    <w:p>
      <w:pPr>
        <w:spacing w:after="100" w:before="100" w:line="330"/>
        <w:ind w:left="360" w:hanging="360"/>
        <w:jc w:val="both"/>
      </w:pPr>
      <w:r>
        <w:rPr>
          <w:rFonts w:ascii="Nirmala UI" w:cs="Nirmala UI" w:eastAsia="Nirmala UI" w:hAnsi="Nirmala UI"/>
          <w:b/>
          <w:bCs/>
          <w:color w:val="B22222"/>
          <w:sz w:val="22"/>
          <w:szCs w:val="22"/>
        </w:rPr>
        <w:t xml:space="preserve">एकल-लेन-देन बॉन्ड (STB).  </w:t>
      </w:r>
      <w:r>
        <w:rPr>
          <w:rFonts w:ascii="Mangal" w:cs="Mangal" w:eastAsia="Mangal" w:hAnsi="Mangal"/>
          <w:color w:val="000000"/>
          <w:sz w:val="22"/>
          <w:szCs w:val="22"/>
        </w:rPr>
        <w:t xml:space="preserve">वह सीमा शुल्क बॉन्ड जो ठीक एक सीमा शुल्क लेन-देन को आच्छादित करता है। लेन-देन के परिनिर्धारित होने तथा समस्त दायित्वों के निर्वहन के साथ बॉन्ड समाप्त हो जाता है।</w:t>
      </w:r>
    </w:p>
    <w:p>
      <w:pPr>
        <w:spacing w:after="100" w:before="100" w:line="330"/>
        <w:ind w:left="360" w:hanging="360"/>
        <w:jc w:val="both"/>
      </w:pPr>
      <w:r>
        <w:rPr>
          <w:rFonts w:ascii="Nirmala UI" w:cs="Nirmala UI" w:eastAsia="Nirmala UI" w:hAnsi="Nirmala UI"/>
          <w:b/>
          <w:bCs/>
          <w:color w:val="B22222"/>
          <w:sz w:val="22"/>
          <w:szCs w:val="22"/>
        </w:rPr>
        <w:t xml:space="preserve">कार्टमैन / लाइटरमैन (Cartman / Lighterman).  </w:t>
      </w:r>
      <w:r>
        <w:rPr>
          <w:rFonts w:ascii="Mangal" w:cs="Mangal" w:eastAsia="Mangal" w:hAnsi="Mangal"/>
          <w:color w:val="000000"/>
          <w:sz w:val="22"/>
          <w:szCs w:val="22"/>
        </w:rPr>
        <w:t xml:space="preserve">बंदरगाह-परिक्षेत्र में बंधक माल का परिवहन करने वाला व्यक्ति। कोड 2 के अंतर्गत प्रत्याभूत।</w:t>
      </w:r>
    </w:p>
    <w:p>
      <w:pPr>
        <w:spacing w:after="100" w:before="100" w:line="330"/>
        <w:ind w:left="360" w:hanging="360"/>
        <w:jc w:val="both"/>
      </w:pPr>
      <w:r>
        <w:rPr>
          <w:rFonts w:ascii="Nirmala UI" w:cs="Nirmala UI" w:eastAsia="Nirmala UI" w:hAnsi="Nirmala UI"/>
          <w:b/>
          <w:bCs/>
          <w:color w:val="B22222"/>
          <w:sz w:val="22"/>
          <w:szCs w:val="22"/>
        </w:rPr>
        <w:t xml:space="preserve">केंद्रीकृत निरीक्षण स्टेशन (CES).  </w:t>
      </w:r>
      <w:r>
        <w:rPr>
          <w:rFonts w:ascii="Mangal" w:cs="Mangal" w:eastAsia="Mangal" w:hAnsi="Mangal"/>
          <w:color w:val="000000"/>
          <w:sz w:val="22"/>
          <w:szCs w:val="22"/>
        </w:rPr>
        <w:t xml:space="preserve">निजी-संचालित सुविधा जहाँ CBP आयातित माल का निरीक्षण करता है। CES संचालक कोड 2 का संरक्षण-वर्ग बॉन्ड जारी करते हैं।</w:t>
      </w:r>
    </w:p>
    <w:p>
      <w:pPr>
        <w:spacing w:after="100" w:before="100" w:line="330"/>
        <w:ind w:left="360" w:hanging="360"/>
        <w:jc w:val="both"/>
      </w:pPr>
      <w:r>
        <w:rPr>
          <w:rFonts w:ascii="Nirmala UI" w:cs="Nirmala UI" w:eastAsia="Nirmala UI" w:hAnsi="Nirmala UI"/>
          <w:b/>
          <w:bCs/>
          <w:color w:val="B22222"/>
          <w:sz w:val="22"/>
          <w:szCs w:val="22"/>
        </w:rPr>
        <w:t xml:space="preserve">गतिविधि कोड (Activity Code).  </w:t>
      </w:r>
      <w:r>
        <w:rPr>
          <w:rFonts w:ascii="Mangal" w:cs="Mangal" w:eastAsia="Mangal" w:hAnsi="Mangal"/>
          <w:color w:val="000000"/>
          <w:sz w:val="22"/>
          <w:szCs w:val="22"/>
        </w:rPr>
        <w:t xml:space="preserve">CBP द्वारा Form 301 पर बॉन्ड द्वारा आच्छादित सीमा शुल्क-गतिविधि की पहचान हेतु प्रयुक्त दो-अक्षरीय वर्गीकरण। प्रत्येक कोड 19 CFR Part 113 की Subpart G की संगत बॉन्ड-शर्त उपधारा के अनुरूप है।</w:t>
      </w:r>
    </w:p>
    <w:p>
      <w:pPr>
        <w:spacing w:after="100" w:before="100" w:line="330"/>
        <w:ind w:left="360" w:hanging="360"/>
        <w:jc w:val="both"/>
      </w:pPr>
      <w:r>
        <w:rPr>
          <w:rFonts w:ascii="Nirmala UI" w:cs="Nirmala UI" w:eastAsia="Nirmala UI" w:hAnsi="Nirmala UI"/>
          <w:b/>
          <w:bCs/>
          <w:color w:val="B22222"/>
          <w:sz w:val="22"/>
          <w:szCs w:val="22"/>
        </w:rPr>
        <w:t xml:space="preserve">त्वरित Drawback (Accelerated Drawback).  </w:t>
      </w:r>
      <w:r>
        <w:rPr>
          <w:rFonts w:ascii="Mangal" w:cs="Mangal" w:eastAsia="Mangal" w:hAnsi="Mangal"/>
          <w:color w:val="000000"/>
          <w:sz w:val="22"/>
          <w:szCs w:val="22"/>
        </w:rPr>
        <w:t xml:space="preserve">अंतर्निहित drawback दावे के अंतिम परिनिर्धारण से पूर्व ही drawback रिफंड का भुगतान, जो कोड 1A बॉन्ड के जारी करने पर सशर्त है।</w:t>
      </w:r>
    </w:p>
    <w:p>
      <w:pPr>
        <w:spacing w:after="100" w:before="100" w:line="330"/>
        <w:ind w:left="360" w:hanging="360"/>
        <w:jc w:val="both"/>
      </w:pPr>
      <w:r>
        <w:rPr>
          <w:rFonts w:ascii="Nirmala UI" w:cs="Nirmala UI" w:eastAsia="Nirmala UI" w:hAnsi="Nirmala UI"/>
          <w:b/>
          <w:bCs/>
          <w:color w:val="B22222"/>
          <w:sz w:val="22"/>
          <w:szCs w:val="22"/>
        </w:rPr>
        <w:t xml:space="preserve">दंडात्मक राशि (Penal Sum).  </w:t>
      </w:r>
      <w:r>
        <w:rPr>
          <w:rFonts w:ascii="Mangal" w:cs="Mangal" w:eastAsia="Mangal" w:hAnsi="Mangal"/>
          <w:color w:val="000000"/>
          <w:sz w:val="22"/>
          <w:szCs w:val="22"/>
        </w:rPr>
        <w:t xml:space="preserve">वह अधिकतम डॉलर-राशि जिस तक बॉन्ड पर प्रत्याभू का दायित्व है। बॉन्ड के मुख-पृष्ठ पर अंकित।</w:t>
      </w:r>
    </w:p>
    <w:p>
      <w:pPr>
        <w:spacing w:after="100" w:before="100" w:line="330"/>
        <w:ind w:left="360" w:hanging="360"/>
        <w:jc w:val="both"/>
      </w:pPr>
      <w:r>
        <w:rPr>
          <w:rFonts w:ascii="Nirmala UI" w:cs="Nirmala UI" w:eastAsia="Nirmala UI" w:hAnsi="Nirmala UI"/>
          <w:b/>
          <w:bCs/>
          <w:color w:val="B22222"/>
          <w:sz w:val="22"/>
          <w:szCs w:val="22"/>
        </w:rPr>
        <w:t xml:space="preserve">दलाल / सीमा शुल्क दलाल (Customs Broker).  </w:t>
      </w:r>
      <w:r>
        <w:rPr>
          <w:rFonts w:ascii="Mangal" w:cs="Mangal" w:eastAsia="Mangal" w:hAnsi="Mangal"/>
          <w:color w:val="000000"/>
          <w:sz w:val="22"/>
          <w:szCs w:val="22"/>
        </w:rPr>
        <w:t xml:space="preserve">19 U.S.C. § 1641 के अधीन लाइसेंस-धारी व्यक्ति जो आयातकों की ओर से सीमा शुल्क-कार्य का संपादन करता है। दलाल स्वयं का कोड 1 बॉन्ड जारी कर सकता है तथा मुख्य देनदार के बॉन्ड पर अधिकृत प्रतिनिधि के रूप में हस्ताक्षर भी कर सकता है।</w:t>
      </w:r>
    </w:p>
    <w:p>
      <w:pPr>
        <w:spacing w:after="100" w:before="100" w:line="330"/>
        <w:ind w:left="360" w:hanging="360"/>
        <w:jc w:val="both"/>
      </w:pPr>
      <w:r>
        <w:rPr>
          <w:rFonts w:ascii="Nirmala UI" w:cs="Nirmala UI" w:eastAsia="Nirmala UI" w:hAnsi="Nirmala UI"/>
          <w:b/>
          <w:bCs/>
          <w:color w:val="B22222"/>
          <w:sz w:val="22"/>
          <w:szCs w:val="22"/>
        </w:rPr>
        <w:t xml:space="preserve">परिनिर्धारण (Liquidation).  </w:t>
      </w:r>
      <w:r>
        <w:rPr>
          <w:rFonts w:ascii="Mangal" w:cs="Mangal" w:eastAsia="Mangal" w:hAnsi="Mangal"/>
          <w:color w:val="000000"/>
          <w:sz w:val="22"/>
          <w:szCs w:val="22"/>
        </w:rPr>
        <w:t xml:space="preserve">किसी प्रविष्टि पर देय शुल्क, करों एवं प्रभारों का CBP द्वारा अंतिम संगणन। सामान्यतः प्रविष्टि से एक वर्ष के भीतर हो जाता है, जो विधिक विस्तारों के अधीन है।</w:t>
      </w:r>
    </w:p>
    <w:p>
      <w:pPr>
        <w:spacing w:after="100" w:before="100" w:line="330"/>
        <w:ind w:left="360" w:hanging="360"/>
        <w:jc w:val="both"/>
      </w:pPr>
      <w:r>
        <w:rPr>
          <w:rFonts w:ascii="Nirmala UI" w:cs="Nirmala UI" w:eastAsia="Nirmala UI" w:hAnsi="Nirmala UI"/>
          <w:b/>
          <w:bCs/>
          <w:color w:val="B22222"/>
          <w:sz w:val="22"/>
          <w:szCs w:val="22"/>
        </w:rPr>
        <w:t xml:space="preserve">परिनिर्धारित हर्जाना (Liquidated Damages).  </w:t>
      </w:r>
      <w:r>
        <w:rPr>
          <w:rFonts w:ascii="Mangal" w:cs="Mangal" w:eastAsia="Mangal" w:hAnsi="Mangal"/>
          <w:color w:val="000000"/>
          <w:sz w:val="22"/>
          <w:szCs w:val="22"/>
        </w:rPr>
        <w:t xml:space="preserve">CBP द्वारा किसी विनियामक दायित्व के उल्लंघन हेतु पूर्व-निर्धारित मौद्रिक दंड, जो बॉन्ड की दंडात्मक राशि की सीमा तक देय होता है। सीमा शुल्क बॉन्ड दावों का सर्वाधिक सामान्य रूप।</w:t>
      </w:r>
    </w:p>
    <w:p>
      <w:pPr>
        <w:spacing w:after="100" w:before="100" w:line="330"/>
        <w:ind w:left="360" w:hanging="360"/>
        <w:jc w:val="both"/>
      </w:pPr>
      <w:r>
        <w:rPr>
          <w:rFonts w:ascii="Nirmala UI" w:cs="Nirmala UI" w:eastAsia="Nirmala UI" w:hAnsi="Nirmala UI"/>
          <w:b/>
          <w:bCs/>
          <w:color w:val="B22222"/>
          <w:sz w:val="22"/>
          <w:szCs w:val="22"/>
        </w:rPr>
        <w:t xml:space="preserve">प्रत्याभू / गारंटर (Surety).  </w:t>
      </w:r>
      <w:r>
        <w:rPr>
          <w:rFonts w:ascii="Mangal" w:cs="Mangal" w:eastAsia="Mangal" w:hAnsi="Mangal"/>
          <w:color w:val="000000"/>
          <w:sz w:val="22"/>
          <w:szCs w:val="22"/>
        </w:rPr>
        <w:t xml:space="preserve">राजकोष-सूचीबद्ध बीमा कंपनी जो CBP के समक्ष मुख्य देनदार के दायित्वों की वित्तीय प्रत्याभूति देती है। बॉन्ड-उपकरण पर अपने त्रि-अंकीय प्रत्याभू कोड से पहचानी जाती है।</w:t>
      </w:r>
    </w:p>
    <w:p>
      <w:pPr>
        <w:spacing w:after="100" w:before="100" w:line="330"/>
        <w:ind w:left="360" w:hanging="360"/>
        <w:jc w:val="both"/>
      </w:pPr>
      <w:r>
        <w:rPr>
          <w:rFonts w:ascii="Nirmala UI" w:cs="Nirmala UI" w:eastAsia="Nirmala UI" w:hAnsi="Nirmala UI"/>
          <w:b/>
          <w:bCs/>
          <w:color w:val="B22222"/>
          <w:sz w:val="22"/>
          <w:szCs w:val="22"/>
        </w:rPr>
        <w:t xml:space="preserve">बंदरगाह-निदेशक (Port Director).  </w:t>
      </w:r>
      <w:r>
        <w:rPr>
          <w:rFonts w:ascii="Mangal" w:cs="Mangal" w:eastAsia="Mangal" w:hAnsi="Mangal"/>
          <w:color w:val="000000"/>
          <w:sz w:val="22"/>
          <w:szCs w:val="22"/>
        </w:rPr>
        <w:t xml:space="preserve">किसी प्रवेश-बंदरगाह का प्रभारी CBP अधिकारी, जिसे कुछ गतिविधि कोडों के बॉन्ड-प्रस्तुति विषयक प्राधिकार प्रत्यायोजित होता है।</w:t>
      </w:r>
    </w:p>
    <w:p>
      <w:pPr>
        <w:spacing w:after="100" w:before="100" w:line="330"/>
        <w:ind w:left="360" w:hanging="360"/>
        <w:jc w:val="both"/>
      </w:pPr>
      <w:r>
        <w:rPr>
          <w:rFonts w:ascii="Nirmala UI" w:cs="Nirmala UI" w:eastAsia="Nirmala UI" w:hAnsi="Nirmala UI"/>
          <w:b/>
          <w:bCs/>
          <w:color w:val="B22222"/>
          <w:sz w:val="22"/>
          <w:szCs w:val="22"/>
        </w:rPr>
        <w:t xml:space="preserve">बौद्धिक संपदा अधिकार (IPR) नमूना (IPR Sample).  </w:t>
      </w:r>
      <w:r>
        <w:rPr>
          <w:rFonts w:ascii="Mangal" w:cs="Mangal" w:eastAsia="Mangal" w:hAnsi="Mangal"/>
          <w:color w:val="000000"/>
          <w:sz w:val="22"/>
          <w:szCs w:val="22"/>
        </w:rPr>
        <w:t xml:space="preserve">वह अवरुद्ध अथवा ज़ब्त माल का नमूना जो CBP, संभावित उल्लंघन-निर्धारण की सहायता हेतु, अधिकार-स्वामी को प्रदान करता है। कोड 15 के अंतर्गत प्रत्याभूत।</w:t>
      </w:r>
    </w:p>
    <w:p>
      <w:pPr>
        <w:spacing w:after="100" w:before="100" w:line="330"/>
        <w:ind w:left="360" w:hanging="360"/>
        <w:jc w:val="both"/>
      </w:pPr>
      <w:r>
        <w:rPr>
          <w:rFonts w:ascii="Nirmala UI" w:cs="Nirmala UI" w:eastAsia="Nirmala UI" w:hAnsi="Nirmala UI"/>
          <w:b/>
          <w:bCs/>
          <w:color w:val="B22222"/>
          <w:sz w:val="22"/>
          <w:szCs w:val="22"/>
        </w:rPr>
        <w:t xml:space="preserve">बंधक संचलन (In-Bond Movement).  </w:t>
      </w:r>
      <w:r>
        <w:rPr>
          <w:rFonts w:ascii="Mangal" w:cs="Mangal" w:eastAsia="Mangal" w:hAnsi="Mangal"/>
          <w:color w:val="000000"/>
          <w:sz w:val="22"/>
          <w:szCs w:val="22"/>
        </w:rPr>
        <w:t xml:space="preserve">अमेरिका के एक प्रवेश-बंदरगाह से दूसरे प्रवेश-बंदरगाह तक, अथवा अमेरिका के किसी प्रवेश-बंदरगाह से अमेरिका के बाहर किसी गंतव्य तक, माल का संचलन — जो CBP की अभिरक्षा में होता है तथा जिस पर आगमन-बंदरगाह पर शुल्क-भुगतान नहीं होता। कोड 2 बॉन्ड द्वारा प्रत्याभूत।</w:t>
      </w:r>
    </w:p>
    <w:p>
      <w:pPr>
        <w:spacing w:after="100" w:before="100" w:line="330"/>
        <w:ind w:left="360" w:hanging="360"/>
        <w:jc w:val="both"/>
      </w:pPr>
      <w:r>
        <w:rPr>
          <w:rFonts w:ascii="Nirmala UI" w:cs="Nirmala UI" w:eastAsia="Nirmala UI" w:hAnsi="Nirmala UI"/>
          <w:b/>
          <w:bCs/>
          <w:color w:val="B22222"/>
          <w:sz w:val="22"/>
          <w:szCs w:val="22"/>
        </w:rPr>
        <w:t xml:space="preserve">बॉन्ड-शर्तें (Bond Conditions).  </w:t>
      </w:r>
      <w:r>
        <w:rPr>
          <w:rFonts w:ascii="Mangal" w:cs="Mangal" w:eastAsia="Mangal" w:hAnsi="Mangal"/>
          <w:color w:val="000000"/>
          <w:sz w:val="22"/>
          <w:szCs w:val="22"/>
        </w:rPr>
        <w:t xml:space="preserve">वे सारगर्भित दायित्व जिनकी प्रत्याभूति बॉन्ड देता है। प्रत्येक गतिविधि कोड की शर्तें 19 CFR Part 113, Subpart G में निर्धारित हैं तथा संदर्भ द्वारा बॉन्ड-उपकरण में सम्मिलित हो जाती हैं।</w:t>
      </w:r>
    </w:p>
    <w:p>
      <w:pPr>
        <w:spacing w:after="100" w:before="100" w:line="330"/>
        <w:ind w:left="360" w:hanging="360"/>
        <w:jc w:val="both"/>
      </w:pPr>
      <w:r>
        <w:rPr>
          <w:rFonts w:ascii="Nirmala UI" w:cs="Nirmala UI" w:eastAsia="Nirmala UI" w:hAnsi="Nirmala UI"/>
          <w:b/>
          <w:bCs/>
          <w:color w:val="B22222"/>
          <w:sz w:val="22"/>
          <w:szCs w:val="22"/>
        </w:rPr>
        <w:t xml:space="preserve">मुख्य देनदार (Principal).  </w:t>
      </w:r>
      <w:r>
        <w:rPr>
          <w:rFonts w:ascii="Mangal" w:cs="Mangal" w:eastAsia="Mangal" w:hAnsi="Mangal"/>
          <w:color w:val="000000"/>
          <w:sz w:val="22"/>
          <w:szCs w:val="22"/>
        </w:rPr>
        <w:t xml:space="preserve">वह पक्ष जिसके निर्वहन-दायित्व को बॉन्ड प्रत्याभूत करता है: आयातक, दलाल, परिवाहक, गोदाम, FTZ संचालक, मापक, टर्मिनल संचालक, अधिकार-स्वामी अथवा अन्य विनियमित निकाय।</w:t>
      </w:r>
    </w:p>
    <w:p>
      <w:pPr>
        <w:spacing w:after="100" w:before="100" w:line="330"/>
        <w:ind w:left="360" w:hanging="360"/>
        <w:jc w:val="both"/>
      </w:pPr>
      <w:r>
        <w:rPr>
          <w:rFonts w:ascii="Nirmala UI" w:cs="Nirmala UI" w:eastAsia="Nirmala UI" w:hAnsi="Nirmala UI"/>
          <w:b/>
          <w:bCs/>
          <w:color w:val="B22222"/>
          <w:sz w:val="22"/>
          <w:szCs w:val="22"/>
        </w:rPr>
        <w:t xml:space="preserve">राइडर (Rider).  </w:t>
      </w:r>
      <w:r>
        <w:rPr>
          <w:rFonts w:ascii="Mangal" w:cs="Mangal" w:eastAsia="Mangal" w:hAnsi="Mangal"/>
          <w:color w:val="000000"/>
          <w:sz w:val="22"/>
          <w:szCs w:val="22"/>
        </w:rPr>
        <w:t xml:space="preserve">प्रत्याभू एवं मुख्य देनदार द्वारा हस्ताक्षरित तथा CBP को प्रस्तुत बॉन्ड का पृष्ठांकन, जो विद्यमान बॉन्ड की किसी एक शर्त (जैसे नाम, पता अथवा व्यापारिक-नाम का परिवर्तन) को संशोधित करता है, मूल उपकरण को प्रतिस्थापित किए बिना।</w:t>
      </w:r>
    </w:p>
    <w:p>
      <w:pPr>
        <w:spacing w:after="100" w:before="100" w:line="330"/>
        <w:ind w:left="360" w:hanging="360"/>
        <w:jc w:val="both"/>
      </w:pPr>
      <w:r>
        <w:rPr>
          <w:rFonts w:ascii="Nirmala UI" w:cs="Nirmala UI" w:eastAsia="Nirmala UI" w:hAnsi="Nirmala UI"/>
          <w:b/>
          <w:bCs/>
          <w:color w:val="B22222"/>
          <w:sz w:val="22"/>
          <w:szCs w:val="22"/>
        </w:rPr>
        <w:t xml:space="preserve">राजकोष सूची / Circular 570 (Treasury Listing).  </w:t>
      </w:r>
      <w:r>
        <w:rPr>
          <w:rFonts w:ascii="Mangal" w:cs="Mangal" w:eastAsia="Mangal" w:hAnsi="Mangal"/>
          <w:color w:val="000000"/>
          <w:sz w:val="22"/>
          <w:szCs w:val="22"/>
        </w:rPr>
        <w:t xml:space="preserve">अमेरिकी राजकोष विभाग द्वारा प्रति-वर्ष पुनः प्रकाशित बीमा कंपनियों की सूची जो संघीय प्रत्याभूति बॉन्ड जारी करने हेतु प्रमाणित हैं। सीमा शुल्क बॉन्ड जारी करने के लिए प्रत्याभू का इस सूची में होना आवश्यक है।</w:t>
      </w:r>
    </w:p>
    <w:p>
      <w:pPr>
        <w:spacing w:after="100" w:before="100" w:line="330"/>
        <w:ind w:left="360" w:hanging="360"/>
        <w:jc w:val="both"/>
      </w:pPr>
      <w:r>
        <w:rPr>
          <w:rFonts w:ascii="Nirmala UI" w:cs="Nirmala UI" w:eastAsia="Nirmala UI" w:hAnsi="Nirmala UI"/>
          <w:b/>
          <w:bCs/>
          <w:color w:val="B22222"/>
          <w:sz w:val="22"/>
          <w:szCs w:val="22"/>
        </w:rPr>
        <w:t xml:space="preserve">लदान-बिल (Bill of Lading).  </w:t>
      </w:r>
      <w:r>
        <w:rPr>
          <w:rFonts w:ascii="Mangal" w:cs="Mangal" w:eastAsia="Mangal" w:hAnsi="Mangal"/>
          <w:color w:val="000000"/>
          <w:sz w:val="22"/>
          <w:szCs w:val="22"/>
        </w:rPr>
        <w:t xml:space="preserve">परिवाहक द्वारा प्राप्त माल के लिए जारी किया गया दस्तावेज़, जो स्वामित्व, परिवहन-शर्तों तथा सुपुर्दगी-निर्देशों का प्रमाण होता है। कोड 7 बॉन्ड तब अनिवार्य होता है जब मूल बिल प्रस्तुत किए बिना निकासी अपेक्षित हो।</w:t>
      </w:r>
    </w:p>
    <w:p>
      <w:pPr>
        <w:spacing w:after="100" w:before="100" w:line="330"/>
        <w:ind w:left="360" w:hanging="360"/>
        <w:jc w:val="both"/>
      </w:pPr>
      <w:r>
        <w:rPr>
          <w:rFonts w:ascii="Nirmala UI" w:cs="Nirmala UI" w:eastAsia="Nirmala UI" w:hAnsi="Nirmala UI"/>
          <w:b/>
          <w:bCs/>
          <w:color w:val="B22222"/>
          <w:sz w:val="22"/>
          <w:szCs w:val="22"/>
        </w:rPr>
        <w:t xml:space="preserve">विदेशी व्यापार क्षेत्र (FTZ — Foreign Trade Zone).  </w:t>
      </w:r>
      <w:r>
        <w:rPr>
          <w:rFonts w:ascii="Mangal" w:cs="Mangal" w:eastAsia="Mangal" w:hAnsi="Mangal"/>
          <w:color w:val="000000"/>
          <w:sz w:val="22"/>
          <w:szCs w:val="22"/>
        </w:rPr>
        <w:t xml:space="preserve">अमेरिका के भीतर का वह भौगोलिक क्षेत्र जिसे सीमा शुल्क-निर्धारण की दृष्टि से अमेरिकी सीमा शुल्क-क्षेत्र के बाहर माना जाता है। कोड 4 बॉन्ड के अंतर्गत संचालित।</w:t>
      </w:r>
    </w:p>
    <w:p>
      <w:pPr>
        <w:spacing w:after="100" w:before="100" w:line="330"/>
        <w:ind w:left="360" w:hanging="360"/>
        <w:jc w:val="both"/>
      </w:pPr>
      <w:r>
        <w:rPr>
          <w:rFonts w:ascii="Nirmala UI" w:cs="Nirmala UI" w:eastAsia="Nirmala UI" w:hAnsi="Nirmala UI"/>
          <w:b/>
          <w:bCs/>
          <w:color w:val="B22222"/>
          <w:sz w:val="22"/>
          <w:szCs w:val="22"/>
        </w:rPr>
        <w:t xml:space="preserve">शुल्क (Duty).  </w:t>
      </w:r>
      <w:r>
        <w:rPr>
          <w:rFonts w:ascii="Mangal" w:cs="Mangal" w:eastAsia="Mangal" w:hAnsi="Mangal"/>
          <w:color w:val="000000"/>
          <w:sz w:val="22"/>
          <w:szCs w:val="22"/>
        </w:rPr>
        <w:t xml:space="preserve">आयातित माल पर लगाया जाने वाला कर, जो Harmonized Tariff Schedule of the United States (HTSUS) में निर्धारित है।</w:t>
      </w:r>
    </w:p>
    <w:p>
      <w:pPr>
        <w:spacing w:after="100" w:before="100" w:line="330"/>
        <w:ind w:left="360" w:hanging="360"/>
        <w:jc w:val="both"/>
      </w:pPr>
      <w:r>
        <w:rPr>
          <w:rFonts w:ascii="Nirmala UI" w:cs="Nirmala UI" w:eastAsia="Nirmala UI" w:hAnsi="Nirmala UI"/>
          <w:b/>
          <w:bCs/>
          <w:color w:val="B22222"/>
          <w:sz w:val="22"/>
          <w:szCs w:val="22"/>
        </w:rPr>
        <w:t xml:space="preserve">समुद्री टर्मिनल संचालक (MTO).  </w:t>
      </w:r>
      <w:r>
        <w:rPr>
          <w:rFonts w:ascii="Mangal" w:cs="Mangal" w:eastAsia="Mangal" w:hAnsi="Mangal"/>
          <w:color w:val="000000"/>
          <w:sz w:val="22"/>
          <w:szCs w:val="22"/>
        </w:rPr>
        <w:t xml:space="preserve">अंतरराष्ट्रीय माल का प्रबंधन करने वाला समुद्री टर्मिनल का संचालक। कोड 17 बॉन्ड के अंतर्गत प्रत्याभूत।</w:t>
      </w:r>
    </w:p>
    <w:p>
      <w:pPr>
        <w:spacing w:after="100" w:before="100" w:line="330"/>
        <w:ind w:left="360" w:hanging="360"/>
        <w:jc w:val="both"/>
      </w:pPr>
      <w:r>
        <w:rPr>
          <w:rFonts w:ascii="Nirmala UI" w:cs="Nirmala UI" w:eastAsia="Nirmala UI" w:hAnsi="Nirmala UI"/>
          <w:b/>
          <w:bCs/>
          <w:color w:val="B22222"/>
          <w:sz w:val="22"/>
          <w:szCs w:val="22"/>
        </w:rPr>
        <w:t xml:space="preserve">सतत बॉन्ड (CB — Continuous Bond).  </w:t>
      </w:r>
      <w:r>
        <w:rPr>
          <w:rFonts w:ascii="Mangal" w:cs="Mangal" w:eastAsia="Mangal" w:hAnsi="Mangal"/>
          <w:color w:val="000000"/>
          <w:sz w:val="22"/>
          <w:szCs w:val="22"/>
        </w:rPr>
        <w:t xml:space="preserve">वह सीमा शुल्क बॉन्ड जो प्रत्येक प्रवेश-बंदरगाह से होने वाले सभी पात्र लेन-देनों को सतत् अवधि तक आच्छादित करता है, सामान्यतः वार्षिक प्रीमियम-आधार पर मूल्यांकित। आवर्ती गतिविधि का स्वतःअपेक्षित रूप।</w:t>
      </w:r>
    </w:p>
    <w:p>
      <w:pPr>
        <w:spacing w:after="100" w:before="100" w:line="330"/>
        <w:ind w:left="360" w:hanging="360"/>
        <w:jc w:val="both"/>
      </w:pPr>
      <w:r>
        <w:rPr>
          <w:rFonts w:ascii="Nirmala UI" w:cs="Nirmala UI" w:eastAsia="Nirmala UI" w:hAnsi="Nirmala UI"/>
          <w:b/>
          <w:bCs/>
          <w:color w:val="B22222"/>
          <w:sz w:val="22"/>
          <w:szCs w:val="22"/>
        </w:rPr>
        <w:t xml:space="preserve">सहयोगी संघीय एजेंसी (PGA — Partner Government Agency).  </w:t>
      </w:r>
      <w:r>
        <w:rPr>
          <w:rFonts w:ascii="Mangal" w:cs="Mangal" w:eastAsia="Mangal" w:hAnsi="Mangal"/>
          <w:color w:val="000000"/>
          <w:sz w:val="22"/>
          <w:szCs w:val="22"/>
        </w:rPr>
        <w:t xml:space="preserve">CBP के अतिरिक्त वह अमेरिकी संघीय एजेंसी जिसकी अपेक्षाएँ आयातित माल पर लागू होती हैं (जैसे FDA, EPA, USDA, DOT, FCC, ATF, CPSC)। विनियमित प्रविष्टियों पर STB का परिमाण बढ़ा देती है।</w:t>
      </w:r>
    </w:p>
    <w:p>
      <w:pPr>
        <w:spacing w:after="100" w:before="100" w:line="330"/>
        <w:ind w:left="360" w:hanging="360"/>
        <w:jc w:val="both"/>
      </w:pPr>
      <w:r>
        <w:rPr>
          <w:rFonts w:ascii="Nirmala UI" w:cs="Nirmala UI" w:eastAsia="Nirmala UI" w:hAnsi="Nirmala UI"/>
          <w:b/>
          <w:bCs/>
          <w:color w:val="B22222"/>
          <w:sz w:val="22"/>
          <w:szCs w:val="22"/>
        </w:rPr>
        <w:t xml:space="preserve">CBP.  </w:t>
      </w:r>
      <w:r>
        <w:rPr>
          <w:rFonts w:ascii="Mangal" w:cs="Mangal" w:eastAsia="Mangal" w:hAnsi="Mangal"/>
          <w:color w:val="000000"/>
          <w:sz w:val="22"/>
          <w:szCs w:val="22"/>
        </w:rPr>
        <w:t xml:space="preserve">U.S. Customs and Border Protection — सीमा शुल्क बॉन्ड का लाभार्थी एवं अमेरिकी सीमा शुल्क क़ानूनों के प्रशासन के लिए उत्तरदायी, गृह-सुरक्षा विभाग का घटक ब्यूरो।</w:t>
      </w:r>
    </w:p>
    <w:p>
      <w:pPr>
        <w:spacing w:after="100" w:before="100" w:line="330"/>
        <w:ind w:left="360" w:hanging="360"/>
        <w:jc w:val="both"/>
      </w:pPr>
      <w:r>
        <w:rPr>
          <w:rFonts w:ascii="Nirmala UI" w:cs="Nirmala UI" w:eastAsia="Nirmala UI" w:hAnsi="Nirmala UI"/>
          <w:b/>
          <w:bCs/>
          <w:color w:val="B22222"/>
          <w:sz w:val="22"/>
          <w:szCs w:val="22"/>
        </w:rPr>
        <w:t xml:space="preserve">Drawback.  </w:t>
      </w:r>
      <w:r>
        <w:rPr>
          <w:rFonts w:ascii="Mangal" w:cs="Mangal" w:eastAsia="Mangal" w:hAnsi="Mangal"/>
          <w:color w:val="000000"/>
          <w:sz w:val="22"/>
          <w:szCs w:val="22"/>
        </w:rPr>
        <w:t xml:space="preserve">उस आयातित माल पर भुगतान किए गए शुल्क, करों एवं प्रभारों का पूर्ण अथवा आंशिक रिफंड जिसे तत्पश्चात् CBP के पर्यवेक्षण में निर्यात किया गया अथवा नष्ट किया गया हो।</w:t>
      </w:r>
    </w:p>
    <w:p>
      <w:pPr>
        <w:spacing w:after="100" w:before="100" w:line="330"/>
        <w:ind w:left="360" w:hanging="360"/>
        <w:jc w:val="both"/>
      </w:pPr>
      <w:r>
        <w:rPr>
          <w:rFonts w:ascii="Nirmala UI" w:cs="Nirmala UI" w:eastAsia="Nirmala UI" w:hAnsi="Nirmala UI"/>
          <w:b/>
          <w:bCs/>
          <w:color w:val="B22222"/>
          <w:sz w:val="22"/>
          <w:szCs w:val="22"/>
        </w:rPr>
        <w:t xml:space="preserve">Form 301.  </w:t>
      </w:r>
      <w:r>
        <w:rPr>
          <w:rFonts w:ascii="Mangal" w:cs="Mangal" w:eastAsia="Mangal" w:hAnsi="Mangal"/>
          <w:color w:val="000000"/>
          <w:sz w:val="22"/>
          <w:szCs w:val="22"/>
        </w:rPr>
        <w:t xml:space="preserve">CBP का मानक सीमा शुल्क बॉन्ड फ़ॉर्म। उन समस्त गतिविधि कोडों के लिए प्रयुक्त जो वर्तमान में मानक फ़ॉर्म पर स्वीकार्य हैं। कोड 12 तथा 17 के लिए पृथक् उपकरण अपेक्षित।</w:t>
      </w:r>
    </w:p>
    <w:p>
      <w:pPr>
        <w:spacing w:after="100" w:before="100" w:line="330"/>
        <w:ind w:left="360" w:hanging="360"/>
        <w:jc w:val="both"/>
      </w:pPr>
      <w:r>
        <w:rPr>
          <w:rFonts w:ascii="Nirmala UI" w:cs="Nirmala UI" w:eastAsia="Nirmala UI" w:hAnsi="Nirmala UI"/>
          <w:b/>
          <w:bCs/>
          <w:color w:val="B22222"/>
          <w:sz w:val="22"/>
          <w:szCs w:val="22"/>
        </w:rPr>
        <w:t xml:space="preserve">Importer Security Filing (ISF / 10+2).  </w:t>
      </w:r>
      <w:r>
        <w:rPr>
          <w:rFonts w:ascii="Mangal" w:cs="Mangal" w:eastAsia="Mangal" w:hAnsi="Mangal"/>
          <w:color w:val="000000"/>
          <w:sz w:val="22"/>
          <w:szCs w:val="22"/>
        </w:rPr>
        <w:t xml:space="preserve">CBP द्वारा समुद्र-जनित आयात पर अपेक्षित अग्रिम कार्गो-डेटा, सामान्यतः विदेशी बंदरगाह पर लदान से 24 घंटे पूर्व प्रस्तुत किया जाने वाला। कोड 1 अथवा कोड 16 के अंतर्गत प्रत्याभूत।</w:t>
      </w:r>
    </w:p>
    <w:p>
      <w:pPr>
        <w:spacing w:after="100" w:before="100" w:line="330"/>
        <w:ind w:left="360" w:hanging="360"/>
        <w:jc w:val="both"/>
      </w:pPr>
      <w:r>
        <w:rPr>
          <w:rFonts w:ascii="Nirmala UI" w:cs="Nirmala UI" w:eastAsia="Nirmala UI" w:hAnsi="Nirmala UI"/>
          <w:b/>
          <w:bCs/>
          <w:color w:val="B22222"/>
          <w:sz w:val="22"/>
          <w:szCs w:val="22"/>
        </w:rPr>
        <w:t xml:space="preserve">NVOCC (Non-Vessel-Operating Common Carrier).  </w:t>
      </w:r>
      <w:r>
        <w:rPr>
          <w:rFonts w:ascii="Mangal" w:cs="Mangal" w:eastAsia="Mangal" w:hAnsi="Mangal"/>
          <w:color w:val="000000"/>
          <w:sz w:val="22"/>
          <w:szCs w:val="22"/>
        </w:rPr>
        <w:t xml:space="preserve">जहाज़-संचालन-रहित सामान्य परिवाहक। कोड 3 बॉन्ड के अंतर्गत प्रत्याभूत अंतरराष्ट्रीय परिवाहक एवं अग्रिम-मेनिफ़ेस्ट दायित्वों के अधीन।</w:t>
      </w:r>
    </w:p>
    <w:p>
      <w:pPr>
        <w:pStyle w:val="Heading1"/>
        <w:pageBreakBefore/>
        <w:pBdr>
          <w:bottom w:val="single" w:color="B22222" w:sz="12" w:space="4"/>
        </w:pBdr>
        <w:spacing w:after="240" w:before="240"/>
      </w:pPr>
      <w:r>
        <w:rPr>
          <w:rFonts w:ascii="Nirmala UI" w:cs="Nirmala UI" w:eastAsia="Nirmala UI" w:hAnsi="Nirmala UI"/>
          <w:b/>
          <w:bCs/>
          <w:color w:val="B22222"/>
          <w:sz w:val="36"/>
          <w:szCs w:val="36"/>
        </w:rPr>
        <w:t xml:space="preserve">भाग V  —  उपयोगी कड़ियाँ</w:t>
      </w:r>
    </w:p>
    <w:p>
      <w:pPr>
        <w:spacing w:after="140" w:line="340"/>
        <w:jc w:val="both"/>
      </w:pPr>
      <w:r>
        <w:rPr>
          <w:rFonts w:ascii="Mangal" w:cs="Mangal" w:eastAsia="Mangal" w:hAnsi="Mangal"/>
          <w:color w:val="000000"/>
          <w:sz w:val="22"/>
          <w:szCs w:val="22"/>
        </w:rPr>
        <w:t xml:space="preserve">निम्नलिखित संसाधन शासकीय, आधिकारिक अथवा Surety One के अपने हैं। ये वही कड़ियाँ हैं जिन्हें लेखक स्वयं अपनी कार्य-डेस्क पर एक क्लिक के भीतर रखता है।</w:t>
      </w:r>
    </w:p>
    <w:p>
      <w:pPr>
        <w:spacing w:after="80"/>
      </w:pPr>
      <w:r>
        <w:t xml:space="preserve"/>
      </w:r>
    </w:p>
    <w:p>
      <w:pPr>
        <w:pStyle w:val="Heading3"/>
        <w:spacing w:after="120" w:before="220"/>
      </w:pPr>
      <w:r>
        <w:rPr>
          <w:rFonts w:ascii="Nirmala UI" w:cs="Nirmala UI" w:eastAsia="Nirmala UI" w:hAnsi="Nirmala UI"/>
          <w:b/>
          <w:bCs/>
          <w:color w:val="B22222"/>
          <w:sz w:val="24"/>
          <w:szCs w:val="24"/>
        </w:rPr>
        <w:t xml:space="preserve">U.S. Customs and Border Protection (CBP)</w:t>
      </w:r>
    </w:p>
    <w:p>
      <w:pPr>
        <w:spacing w:after="80" w:before="80" w:line="330"/>
      </w:pPr>
      <w:r>
        <w:rPr>
          <w:rFonts w:ascii="Nirmala UI" w:cs="Nirmala UI" w:eastAsia="Nirmala UI" w:hAnsi="Nirmala UI"/>
          <w:b/>
          <w:bCs/>
          <w:color w:val="B22222"/>
          <w:sz w:val="22"/>
          <w:szCs w:val="22"/>
        </w:rPr>
        <w:t xml:space="preserve">CBP का मुख्य जालस्थल  —  </w:t>
      </w:r>
      <w:hyperlink w:history="1" r:id="rIdnltz-lbvm43vxti4eatyv">
        <w:r>
          <w:rPr>
            <w:rFonts w:ascii="Georgia" w:cs="Georgia" w:eastAsia="Georgia" w:hAnsi="Georgia"/>
            <w:color w:val="000000"/>
            <w:sz w:val="22"/>
            <w:szCs w:val="22"/>
            <w:u w:val="single" w:color="000000"/>
          </w:rPr>
          <w:t xml:space="preserve">https://www.cbp.gov</w:t>
        </w:r>
      </w:hyperlink>
    </w:p>
    <w:p>
      <w:pPr>
        <w:spacing w:after="80" w:before="80" w:line="330"/>
      </w:pPr>
      <w:r>
        <w:rPr>
          <w:rFonts w:ascii="Nirmala UI" w:cs="Nirmala UI" w:eastAsia="Nirmala UI" w:hAnsi="Nirmala UI"/>
          <w:b/>
          <w:bCs/>
          <w:color w:val="B22222"/>
          <w:sz w:val="22"/>
          <w:szCs w:val="22"/>
        </w:rPr>
        <w:t xml:space="preserve">CBP Help — बॉन्ड के प्रकार  —  </w:t>
      </w:r>
      <w:hyperlink w:history="1" r:id="rIdybffdbbvndr3bt5nz3thj">
        <w:r>
          <w:rPr>
            <w:rFonts w:ascii="Georgia" w:cs="Georgia" w:eastAsia="Georgia" w:hAnsi="Georgia"/>
            <w:color w:val="000000"/>
            <w:sz w:val="22"/>
            <w:szCs w:val="22"/>
            <w:u w:val="single" w:color="000000"/>
          </w:rPr>
          <w:t xml:space="preserve">https://www.help.cbp.gov/s/article/Article1074</w:t>
        </w:r>
      </w:hyperlink>
    </w:p>
    <w:p>
      <w:pPr>
        <w:spacing w:after="80" w:before="80" w:line="330"/>
      </w:pPr>
      <w:r>
        <w:rPr>
          <w:rFonts w:ascii="Nirmala UI" w:cs="Nirmala UI" w:eastAsia="Nirmala UI" w:hAnsi="Nirmala UI"/>
          <w:b/>
          <w:bCs/>
          <w:color w:val="B22222"/>
          <w:sz w:val="22"/>
          <w:szCs w:val="22"/>
        </w:rPr>
        <w:t xml:space="preserve">CBP — IPR नमूना बॉन्ड (कोड 15) मार्गदर्शन  —  </w:t>
      </w:r>
      <w:hyperlink w:history="1" r:id="rIdkg3ilp4as1ylduk6eiy9s">
        <w:r>
          <w:rPr>
            <w:rFonts w:ascii="Georgia" w:cs="Georgia" w:eastAsia="Georgia" w:hAnsi="Georgia"/>
            <w:color w:val="000000"/>
            <w:sz w:val="22"/>
            <w:szCs w:val="22"/>
            <w:u w:val="single" w:color="000000"/>
          </w:rPr>
          <w:t xml:space="preserve">https://www.cbp.gov/trade/priority-issues/revenue/bonds/ipr-sample-bonds</w:t>
        </w:r>
      </w:hyperlink>
    </w:p>
    <w:p>
      <w:pPr>
        <w:spacing w:after="80" w:before="80" w:line="330"/>
      </w:pPr>
      <w:r>
        <w:rPr>
          <w:rFonts w:ascii="Nirmala UI" w:cs="Nirmala UI" w:eastAsia="Nirmala UI" w:hAnsi="Nirmala UI"/>
          <w:b/>
          <w:bCs/>
          <w:color w:val="B22222"/>
          <w:sz w:val="22"/>
          <w:szCs w:val="22"/>
        </w:rPr>
        <w:t xml:space="preserve">CBP Form 301 (सीमा शुल्क बॉन्ड)  —  </w:t>
      </w:r>
      <w:hyperlink w:history="1" r:id="rIdvjj1n_c7xtammn9nskt4p">
        <w:r>
          <w:rPr>
            <w:rFonts w:ascii="Georgia" w:cs="Georgia" w:eastAsia="Georgia" w:hAnsi="Georgia"/>
            <w:color w:val="000000"/>
            <w:sz w:val="22"/>
            <w:szCs w:val="22"/>
            <w:u w:val="single" w:color="000000"/>
          </w:rPr>
          <w:t xml:space="preserve">https://www.cbp.gov/sites/default/files/2024-05/cbp_form_301.pdf</w:t>
        </w:r>
      </w:hyperlink>
    </w:p>
    <w:p>
      <w:pPr>
        <w:spacing w:after="80" w:before="80" w:line="330"/>
      </w:pPr>
      <w:r>
        <w:rPr>
          <w:rFonts w:ascii="Nirmala UI" w:cs="Nirmala UI" w:eastAsia="Nirmala UI" w:hAnsi="Nirmala UI"/>
          <w:b/>
          <w:bCs/>
          <w:color w:val="B22222"/>
          <w:sz w:val="22"/>
          <w:szCs w:val="22"/>
        </w:rPr>
        <w:t xml:space="preserve">A Guide for the Public: How CBP Sets Bond Amounts  —  </w:t>
      </w:r>
      <w:hyperlink w:history="1" r:id="rIdladg2-uwbyks4-edfgt-1">
        <w:r>
          <w:rPr>
            <w:rFonts w:ascii="Georgia" w:cs="Georgia" w:eastAsia="Georgia" w:hAnsi="Georgia"/>
            <w:color w:val="000000"/>
            <w:sz w:val="22"/>
            <w:szCs w:val="22"/>
            <w:u w:val="single" w:color="000000"/>
          </w:rPr>
          <w:t xml:space="preserve">https://content.govdelivery.com/attachments/USDHSCBP/2024/02/13/file_attachments/2782412/FINAL_A%20Guide%20for%20the%20Public_How%20CBP%20Sets%20Bond%20Amounts%20%28February%202024%29.pdf</w:t>
        </w:r>
      </w:hyperlink>
    </w:p>
    <w:p>
      <w:pPr>
        <w:spacing w:after="80" w:before="80" w:line="330"/>
      </w:pPr>
      <w:r>
        <w:rPr>
          <w:rFonts w:ascii="Nirmala UI" w:cs="Nirmala UI" w:eastAsia="Nirmala UI" w:hAnsi="Nirmala UI"/>
          <w:b/>
          <w:bCs/>
          <w:color w:val="B22222"/>
          <w:sz w:val="22"/>
          <w:szCs w:val="22"/>
        </w:rPr>
        <w:t xml:space="preserve">Federal Register — Electronic Bond Transmission प्रस्तावित नियम  —  </w:t>
      </w:r>
      <w:hyperlink w:history="1" r:id="rIdh7uar-r2vx8taf8nhehk7">
        <w:r>
          <w:rPr>
            <w:rFonts w:ascii="Georgia" w:cs="Georgia" w:eastAsia="Georgia" w:hAnsi="Georgia"/>
            <w:color w:val="000000"/>
            <w:sz w:val="22"/>
            <w:szCs w:val="22"/>
            <w:u w:val="single" w:color="000000"/>
          </w:rPr>
          <w:t xml:space="preserve">https://www.govinfo.gov/content/pkg/FR-2026-02-13/pdf/2026-02961.pdf</w:t>
        </w:r>
      </w:hyperlink>
    </w:p>
    <w:p>
      <w:pPr>
        <w:spacing w:after="80" w:before="80" w:line="330"/>
      </w:pPr>
      <w:r>
        <w:rPr>
          <w:rFonts w:ascii="Nirmala UI" w:cs="Nirmala UI" w:eastAsia="Nirmala UI" w:hAnsi="Nirmala UI"/>
          <w:b/>
          <w:bCs/>
          <w:color w:val="B22222"/>
          <w:sz w:val="22"/>
          <w:szCs w:val="22"/>
        </w:rPr>
        <w:t xml:space="preserve">CBP Surety Bonds and Account Team  —  </w:t>
      </w:r>
      <w:hyperlink w:history="1" r:id="rIdgzlp69nlns8yw7kc_zone">
        <w:r>
          <w:rPr>
            <w:rFonts w:ascii="Georgia" w:cs="Georgia" w:eastAsia="Georgia" w:hAnsi="Georgia"/>
            <w:color w:val="000000"/>
            <w:sz w:val="22"/>
            <w:szCs w:val="22"/>
            <w:u w:val="single" w:color="000000"/>
          </w:rPr>
          <w:t xml:space="preserve">mailto:bondquestions@cbp.dhs.gov</w:t>
        </w:r>
      </w:hyperlink>
    </w:p>
    <w:p>
      <w:pPr>
        <w:pStyle w:val="Heading3"/>
        <w:spacing w:after="120" w:before="220"/>
      </w:pPr>
      <w:r>
        <w:rPr>
          <w:rFonts w:ascii="Nirmala UI" w:cs="Nirmala UI" w:eastAsia="Nirmala UI" w:hAnsi="Nirmala UI"/>
          <w:b/>
          <w:bCs/>
          <w:color w:val="B22222"/>
          <w:sz w:val="24"/>
          <w:szCs w:val="24"/>
        </w:rPr>
        <w:t xml:space="preserve">Code of Federal Regulations</w:t>
      </w:r>
    </w:p>
    <w:p>
      <w:pPr>
        <w:spacing w:after="80" w:before="80" w:line="330"/>
      </w:pPr>
      <w:r>
        <w:rPr>
          <w:rFonts w:ascii="Nirmala UI" w:cs="Nirmala UI" w:eastAsia="Nirmala UI" w:hAnsi="Nirmala UI"/>
          <w:b/>
          <w:bCs/>
          <w:color w:val="B22222"/>
          <w:sz w:val="22"/>
          <w:szCs w:val="22"/>
        </w:rPr>
        <w:t xml:space="preserve">19 CFR Part 113 (सीमा शुल्क बॉन्ड)  —  </w:t>
      </w:r>
      <w:hyperlink w:history="1" r:id="rIdx8wgh4wmnsiuq4zydx4u2">
        <w:r>
          <w:rPr>
            <w:rFonts w:ascii="Georgia" w:cs="Georgia" w:eastAsia="Georgia" w:hAnsi="Georgia"/>
            <w:color w:val="000000"/>
            <w:sz w:val="22"/>
            <w:szCs w:val="22"/>
            <w:u w:val="single" w:color="000000"/>
          </w:rPr>
          <w:t xml:space="preserve">https://www.ecfr.gov/current/title-19/chapter-I/part-113</w:t>
        </w:r>
      </w:hyperlink>
    </w:p>
    <w:p>
      <w:pPr>
        <w:spacing w:after="80" w:before="80" w:line="330"/>
      </w:pPr>
      <w:r>
        <w:rPr>
          <w:rFonts w:ascii="Nirmala UI" w:cs="Nirmala UI" w:eastAsia="Nirmala UI" w:hAnsi="Nirmala UI"/>
          <w:b/>
          <w:bCs/>
          <w:color w:val="B22222"/>
          <w:sz w:val="22"/>
          <w:szCs w:val="22"/>
        </w:rPr>
        <w:t xml:space="preserve">19 CFR § 113.61 (सामान्य)  —  </w:t>
      </w:r>
      <w:hyperlink w:history="1" r:id="rIdretzfjgigricacy-yk5ec">
        <w:r>
          <w:rPr>
            <w:rFonts w:ascii="Georgia" w:cs="Georgia" w:eastAsia="Georgia" w:hAnsi="Georgia"/>
            <w:color w:val="000000"/>
            <w:sz w:val="22"/>
            <w:szCs w:val="22"/>
            <w:u w:val="single" w:color="000000"/>
          </w:rPr>
          <w:t xml:space="preserve">https://www.law.cornell.edu/cfr/text/19/113.61</w:t>
        </w:r>
      </w:hyperlink>
    </w:p>
    <w:p>
      <w:pPr>
        <w:spacing w:after="80" w:before="80" w:line="330"/>
      </w:pPr>
      <w:r>
        <w:rPr>
          <w:rFonts w:ascii="Nirmala UI" w:cs="Nirmala UI" w:eastAsia="Nirmala UI" w:hAnsi="Nirmala UI"/>
          <w:b/>
          <w:bCs/>
          <w:color w:val="B22222"/>
          <w:sz w:val="22"/>
          <w:szCs w:val="22"/>
        </w:rPr>
        <w:t xml:space="preserve">19 CFR § 113.62 (कोड 1 — मूल आयात एवं प्रविष्टि बॉन्ड शर्तें)  —  </w:t>
      </w:r>
      <w:hyperlink w:history="1" r:id="rId8boogv572msso5lk7urrv">
        <w:r>
          <w:rPr>
            <w:rFonts w:ascii="Georgia" w:cs="Georgia" w:eastAsia="Georgia" w:hAnsi="Georgia"/>
            <w:color w:val="000000"/>
            <w:sz w:val="22"/>
            <w:szCs w:val="22"/>
            <w:u w:val="single" w:color="000000"/>
          </w:rPr>
          <w:t xml:space="preserve">https://www.law.cornell.edu/cfr/text/19/113.62</w:t>
        </w:r>
      </w:hyperlink>
    </w:p>
    <w:p>
      <w:pPr>
        <w:spacing w:after="80" w:before="80" w:line="330"/>
      </w:pPr>
      <w:r>
        <w:rPr>
          <w:rFonts w:ascii="Nirmala UI" w:cs="Nirmala UI" w:eastAsia="Nirmala UI" w:hAnsi="Nirmala UI"/>
          <w:b/>
          <w:bCs/>
          <w:color w:val="B22222"/>
          <w:sz w:val="22"/>
          <w:szCs w:val="22"/>
        </w:rPr>
        <w:t xml:space="preserve">19 CFR § 113.63 (कोड 2 — संरक्षण-वर्ग शर्तें)  —  </w:t>
      </w:r>
      <w:hyperlink w:history="1" r:id="rIdaetoh5pxnl9wtmhhjxjxx">
        <w:r>
          <w:rPr>
            <w:rFonts w:ascii="Georgia" w:cs="Georgia" w:eastAsia="Georgia" w:hAnsi="Georgia"/>
            <w:color w:val="000000"/>
            <w:sz w:val="22"/>
            <w:szCs w:val="22"/>
            <w:u w:val="single" w:color="000000"/>
          </w:rPr>
          <w:t xml:space="preserve">https://www.law.cornell.edu/cfr/text/19/113.63</w:t>
        </w:r>
      </w:hyperlink>
    </w:p>
    <w:p>
      <w:pPr>
        <w:spacing w:after="80" w:before="80" w:line="330"/>
      </w:pPr>
      <w:r>
        <w:rPr>
          <w:rFonts w:ascii="Nirmala UI" w:cs="Nirmala UI" w:eastAsia="Nirmala UI" w:hAnsi="Nirmala UI"/>
          <w:b/>
          <w:bCs/>
          <w:color w:val="B22222"/>
          <w:sz w:val="22"/>
          <w:szCs w:val="22"/>
        </w:rPr>
        <w:t xml:space="preserve">19 CFR § 113.64 (कोड 3 — अंतरराष्ट्रीय परिवाहक शर्तें)  —  </w:t>
      </w:r>
      <w:hyperlink w:history="1" r:id="rIdfhbu7yv5vvx-xrxw5ywbu">
        <w:r>
          <w:rPr>
            <w:rFonts w:ascii="Georgia" w:cs="Georgia" w:eastAsia="Georgia" w:hAnsi="Georgia"/>
            <w:color w:val="000000"/>
            <w:sz w:val="22"/>
            <w:szCs w:val="22"/>
            <w:u w:val="single" w:color="000000"/>
          </w:rPr>
          <w:t xml:space="preserve">https://www.law.cornell.edu/cfr/text/19/113.64</w:t>
        </w:r>
      </w:hyperlink>
    </w:p>
    <w:p>
      <w:pPr>
        <w:spacing w:after="80" w:before="80" w:line="330"/>
      </w:pPr>
      <w:r>
        <w:rPr>
          <w:rFonts w:ascii="Nirmala UI" w:cs="Nirmala UI" w:eastAsia="Nirmala UI" w:hAnsi="Nirmala UI"/>
          <w:b/>
          <w:bCs/>
          <w:color w:val="B22222"/>
          <w:sz w:val="22"/>
          <w:szCs w:val="22"/>
        </w:rPr>
        <w:t xml:space="preserve">19 CFR § 113.65 (कोड 1A — Drawback त्वरित धन-वापसी शर्तें)  —  </w:t>
      </w:r>
      <w:hyperlink w:history="1" r:id="rIdafxi9zvl7afhijgol9wd9">
        <w:r>
          <w:rPr>
            <w:rFonts w:ascii="Georgia" w:cs="Georgia" w:eastAsia="Georgia" w:hAnsi="Georgia"/>
            <w:color w:val="000000"/>
            <w:sz w:val="22"/>
            <w:szCs w:val="22"/>
            <w:u w:val="single" w:color="000000"/>
          </w:rPr>
          <w:t xml:space="preserve">https://www.law.cornell.edu/cfr/text/19/113.65</w:t>
        </w:r>
      </w:hyperlink>
    </w:p>
    <w:p>
      <w:pPr>
        <w:spacing w:after="80" w:before="80" w:line="330"/>
      </w:pPr>
      <w:r>
        <w:rPr>
          <w:rFonts w:ascii="Nirmala UI" w:cs="Nirmala UI" w:eastAsia="Nirmala UI" w:hAnsi="Nirmala UI"/>
          <w:b/>
          <w:bCs/>
          <w:color w:val="B22222"/>
          <w:sz w:val="22"/>
          <w:szCs w:val="22"/>
        </w:rPr>
        <w:t xml:space="preserve">19 CFR § 113.73 (कोड 4 — FTZ संचालक शर्तें)  —  </w:t>
      </w:r>
      <w:hyperlink w:history="1" r:id="rIdjayfp1yvwexavlo-v-uum">
        <w:r>
          <w:rPr>
            <w:rFonts w:ascii="Georgia" w:cs="Georgia" w:eastAsia="Georgia" w:hAnsi="Georgia"/>
            <w:color w:val="000000"/>
            <w:sz w:val="22"/>
            <w:szCs w:val="22"/>
            <w:u w:val="single" w:color="000000"/>
          </w:rPr>
          <w:t xml:space="preserve">https://www.law.cornell.edu/cfr/text/19/113.73</w:t>
        </w:r>
      </w:hyperlink>
    </w:p>
    <w:p>
      <w:pPr>
        <w:spacing w:after="80" w:before="80" w:line="330"/>
      </w:pPr>
      <w:r>
        <w:rPr>
          <w:rFonts w:ascii="Nirmala UI" w:cs="Nirmala UI" w:eastAsia="Nirmala UI" w:hAnsi="Nirmala UI"/>
          <w:b/>
          <w:bCs/>
          <w:color w:val="B22222"/>
          <w:sz w:val="22"/>
          <w:szCs w:val="22"/>
        </w:rPr>
        <w:t xml:space="preserve">19 CFR Part 149 (Importer Security Filing)  —  </w:t>
      </w:r>
      <w:hyperlink w:history="1" r:id="rIdpqvopxxpvl7_o80nya1q_">
        <w:r>
          <w:rPr>
            <w:rFonts w:ascii="Georgia" w:cs="Georgia" w:eastAsia="Georgia" w:hAnsi="Georgia"/>
            <w:color w:val="000000"/>
            <w:sz w:val="22"/>
            <w:szCs w:val="22"/>
            <w:u w:val="single" w:color="000000"/>
          </w:rPr>
          <w:t xml:space="preserve">https://www.ecfr.gov/current/title-19/chapter-I/part-149</w:t>
        </w:r>
      </w:hyperlink>
    </w:p>
    <w:p>
      <w:pPr>
        <w:spacing w:after="80" w:before="80" w:line="330"/>
      </w:pPr>
      <w:r>
        <w:rPr>
          <w:rFonts w:ascii="Nirmala UI" w:cs="Nirmala UI" w:eastAsia="Nirmala UI" w:hAnsi="Nirmala UI"/>
          <w:b/>
          <w:bCs/>
          <w:color w:val="B22222"/>
          <w:sz w:val="22"/>
          <w:szCs w:val="22"/>
        </w:rPr>
        <w:t xml:space="preserve">19 CFR Part 190 (Drawback)  —  </w:t>
      </w:r>
      <w:hyperlink w:history="1" r:id="rIdw8qrozoj02c2zqcuq-r5h">
        <w:r>
          <w:rPr>
            <w:rFonts w:ascii="Georgia" w:cs="Georgia" w:eastAsia="Georgia" w:hAnsi="Georgia"/>
            <w:color w:val="000000"/>
            <w:sz w:val="22"/>
            <w:szCs w:val="22"/>
            <w:u w:val="single" w:color="000000"/>
          </w:rPr>
          <w:t xml:space="preserve">https://www.ecfr.gov/current/title-19/chapter-I/part-190</w:t>
        </w:r>
      </w:hyperlink>
    </w:p>
    <w:p>
      <w:pPr>
        <w:pStyle w:val="Heading3"/>
        <w:spacing w:after="120" w:before="220"/>
      </w:pPr>
      <w:r>
        <w:rPr>
          <w:rFonts w:ascii="Nirmala UI" w:cs="Nirmala UI" w:eastAsia="Nirmala UI" w:hAnsi="Nirmala UI"/>
          <w:b/>
          <w:bCs/>
          <w:color w:val="B22222"/>
          <w:sz w:val="24"/>
          <w:szCs w:val="24"/>
        </w:rPr>
        <w:t xml:space="preserve">U.S. Department of the Treasury — Bureau of the Fiscal Service</w:t>
      </w:r>
    </w:p>
    <w:p>
      <w:pPr>
        <w:spacing w:after="80" w:before="80" w:line="330"/>
      </w:pPr>
      <w:r>
        <w:rPr>
          <w:rFonts w:ascii="Nirmala UI" w:cs="Nirmala UI" w:eastAsia="Nirmala UI" w:hAnsi="Nirmala UI"/>
          <w:b/>
          <w:bCs/>
          <w:color w:val="B22222"/>
          <w:sz w:val="22"/>
          <w:szCs w:val="22"/>
        </w:rPr>
        <w:t xml:space="preserve">Fiscal Service प्रत्याभूति बॉन्ड कार्यक्रम  —  </w:t>
      </w:r>
      <w:hyperlink w:history="1" r:id="rIdxw8vyy3a9qu0i0-rkj34g">
        <w:r>
          <w:rPr>
            <w:rFonts w:ascii="Georgia" w:cs="Georgia" w:eastAsia="Georgia" w:hAnsi="Georgia"/>
            <w:color w:val="000000"/>
            <w:sz w:val="22"/>
            <w:szCs w:val="22"/>
            <w:u w:val="single" w:color="000000"/>
          </w:rPr>
          <w:t xml:space="preserve">https://fiscal.treasury.gov/surety-bonds/</w:t>
        </w:r>
      </w:hyperlink>
    </w:p>
    <w:p>
      <w:pPr>
        <w:spacing w:after="80" w:before="80" w:line="330"/>
      </w:pPr>
      <w:r>
        <w:rPr>
          <w:rFonts w:ascii="Nirmala UI" w:cs="Nirmala UI" w:eastAsia="Nirmala UI" w:hAnsi="Nirmala UI"/>
          <w:b/>
          <w:bCs/>
          <w:color w:val="B22222"/>
          <w:sz w:val="22"/>
          <w:szCs w:val="22"/>
        </w:rPr>
        <w:t xml:space="preserve">Treasury Listing of Certified Companies (Circular 570)  —  </w:t>
      </w:r>
      <w:hyperlink w:history="1" r:id="rId25ywpth-zfsjn3gamvdka">
        <w:r>
          <w:rPr>
            <w:rFonts w:ascii="Georgia" w:cs="Georgia" w:eastAsia="Georgia" w:hAnsi="Georgia"/>
            <w:color w:val="000000"/>
            <w:sz w:val="22"/>
            <w:szCs w:val="22"/>
            <w:u w:val="single" w:color="000000"/>
          </w:rPr>
          <w:t xml:space="preserve">https://fiscal.treasury.gov/surety-bonds/circular-570.html</w:t>
        </w:r>
      </w:hyperlink>
    </w:p>
    <w:p>
      <w:pPr>
        <w:spacing w:after="80" w:before="80" w:line="330"/>
      </w:pPr>
      <w:r>
        <w:rPr>
          <w:rFonts w:ascii="Nirmala UI" w:cs="Nirmala UI" w:eastAsia="Nirmala UI" w:hAnsi="Nirmala UI"/>
          <w:b/>
          <w:bCs/>
          <w:color w:val="B22222"/>
          <w:sz w:val="22"/>
          <w:szCs w:val="22"/>
        </w:rPr>
        <w:t xml:space="preserve">Fiscal Service प्रत्याभूति बॉन्ड संपर्क  —  </w:t>
      </w:r>
      <w:hyperlink w:history="1" r:id="rIdy6dcpkrqs-vfubzzx6-_d">
        <w:r>
          <w:rPr>
            <w:rFonts w:ascii="Georgia" w:cs="Georgia" w:eastAsia="Georgia" w:hAnsi="Georgia"/>
            <w:color w:val="000000"/>
            <w:sz w:val="22"/>
            <w:szCs w:val="22"/>
            <w:u w:val="single" w:color="000000"/>
          </w:rPr>
          <w:t xml:space="preserve">https://fiscal.treasury.gov/about-us/doing-business-with-fiscal-service/surety-bonds/contacts</w:t>
        </w:r>
      </w:hyperlink>
    </w:p>
    <w:p>
      <w:pPr>
        <w:pStyle w:val="Heading3"/>
        <w:spacing w:after="120" w:before="220"/>
      </w:pPr>
      <w:r>
        <w:rPr>
          <w:rFonts w:ascii="Nirmala UI" w:cs="Nirmala UI" w:eastAsia="Nirmala UI" w:hAnsi="Nirmala UI"/>
          <w:b/>
          <w:bCs/>
          <w:color w:val="B22222"/>
          <w:sz w:val="24"/>
          <w:szCs w:val="24"/>
        </w:rPr>
        <w:t xml:space="preserve">Surety One, Inc.</w:t>
      </w:r>
    </w:p>
    <w:p>
      <w:pPr>
        <w:spacing w:after="80" w:before="80" w:line="330"/>
      </w:pPr>
      <w:r>
        <w:rPr>
          <w:rFonts w:ascii="Nirmala UI" w:cs="Nirmala UI" w:eastAsia="Nirmala UI" w:hAnsi="Nirmala UI"/>
          <w:b/>
          <w:bCs/>
          <w:color w:val="B22222"/>
          <w:sz w:val="22"/>
          <w:szCs w:val="22"/>
        </w:rPr>
        <w:t xml:space="preserve">Surety One का मुख्य जालस्थल  —  </w:t>
      </w:r>
      <w:hyperlink w:history="1" r:id="rIdo_1vojfyfmiimpyqjgbrr">
        <w:r>
          <w:rPr>
            <w:rFonts w:ascii="Georgia" w:cs="Georgia" w:eastAsia="Georgia" w:hAnsi="Georgia"/>
            <w:color w:val="000000"/>
            <w:sz w:val="22"/>
            <w:szCs w:val="22"/>
            <w:u w:val="single" w:color="000000"/>
          </w:rPr>
          <w:t xml:space="preserve">https://suretyone.com</w:t>
        </w:r>
      </w:hyperlink>
    </w:p>
    <w:p>
      <w:pPr>
        <w:spacing w:after="80" w:before="80" w:line="330"/>
      </w:pPr>
      <w:r>
        <w:rPr>
          <w:rFonts w:ascii="Nirmala UI" w:cs="Nirmala UI" w:eastAsia="Nirmala UI" w:hAnsi="Nirmala UI"/>
          <w:b/>
          <w:bCs/>
          <w:color w:val="B22222"/>
          <w:sz w:val="22"/>
          <w:szCs w:val="22"/>
        </w:rPr>
        <w:t xml:space="preserve">अमेरिकी सीमा शुल्क बॉन्ड पृष्ठ  —  </w:t>
      </w:r>
      <w:hyperlink w:history="1" r:id="rIdh3oe_kn8uy3wieui54lk0">
        <w:r>
          <w:rPr>
            <w:rFonts w:ascii="Georgia" w:cs="Georgia" w:eastAsia="Georgia" w:hAnsi="Georgia"/>
            <w:color w:val="000000"/>
            <w:sz w:val="22"/>
            <w:szCs w:val="22"/>
            <w:u w:val="single" w:color="000000"/>
          </w:rPr>
          <w:t xml:space="preserve">https://suretyone.com/us-customs-bond</w:t>
        </w:r>
      </w:hyperlink>
    </w:p>
    <w:p>
      <w:pPr>
        <w:spacing w:after="80" w:before="80" w:line="330"/>
      </w:pPr>
      <w:r>
        <w:rPr>
          <w:rFonts w:ascii="Nirmala UI" w:cs="Nirmala UI" w:eastAsia="Nirmala UI" w:hAnsi="Nirmala UI"/>
          <w:b/>
          <w:bCs/>
          <w:color w:val="B22222"/>
          <w:sz w:val="22"/>
          <w:szCs w:val="22"/>
        </w:rPr>
        <w:t xml:space="preserve">Customs-Bonds.com — सीमा शुल्क बॉन्ड ग्राहक पोर्टल  —  </w:t>
      </w:r>
      <w:hyperlink w:history="1" r:id="rIdpqarh9tyhm0a2jlffhmsn">
        <w:r>
          <w:rPr>
            <w:rFonts w:ascii="Georgia" w:cs="Georgia" w:eastAsia="Georgia" w:hAnsi="Georgia"/>
            <w:color w:val="000000"/>
            <w:sz w:val="22"/>
            <w:szCs w:val="22"/>
            <w:u w:val="single" w:color="000000"/>
          </w:rPr>
          <w:t xml:space="preserve">https://customs-bonds.com</w:t>
        </w:r>
      </w:hyperlink>
    </w:p>
    <w:p>
      <w:pPr>
        <w:spacing w:after="80" w:before="80" w:line="330"/>
      </w:pPr>
      <w:r>
        <w:rPr>
          <w:rFonts w:ascii="Nirmala UI" w:cs="Nirmala UI" w:eastAsia="Nirmala UI" w:hAnsi="Nirmala UI"/>
          <w:b/>
          <w:bCs/>
          <w:color w:val="B22222"/>
          <w:sz w:val="22"/>
          <w:szCs w:val="22"/>
        </w:rPr>
        <w:t xml:space="preserve">सीमा शुल्क बॉन्ड आवेदन-पत्र (PDF)  —  </w:t>
      </w:r>
      <w:hyperlink w:history="1" r:id="rIdperarkpwvdcqmbb0unuty">
        <w:r>
          <w:rPr>
            <w:rFonts w:ascii="Georgia" w:cs="Georgia" w:eastAsia="Georgia" w:hAnsi="Georgia"/>
            <w:color w:val="000000"/>
            <w:sz w:val="22"/>
            <w:szCs w:val="22"/>
            <w:u w:val="single" w:color="000000"/>
          </w:rPr>
          <w:t xml:space="preserve">https://suretyone.com/pdf/all-bonds/customs-and-border-protection-us-customs-bond-application.pdf</w:t>
        </w:r>
      </w:hyperlink>
    </w:p>
    <w:p>
      <w:pPr>
        <w:spacing w:after="80" w:before="80" w:line="330"/>
      </w:pPr>
      <w:r>
        <w:rPr>
          <w:rFonts w:ascii="Nirmala UI" w:cs="Nirmala UI" w:eastAsia="Nirmala UI" w:hAnsi="Nirmala UI"/>
          <w:b/>
          <w:bCs/>
          <w:color w:val="B22222"/>
          <w:sz w:val="22"/>
          <w:szCs w:val="22"/>
        </w:rPr>
        <w:t xml:space="preserve">CBP बॉन्ड-परिमाणन (Surety One संदर्भ PDF)  —  </w:t>
      </w:r>
      <w:hyperlink w:history="1" r:id="rId7c45viailxdxudtojajtp">
        <w:r>
          <w:rPr>
            <w:rFonts w:ascii="Georgia" w:cs="Georgia" w:eastAsia="Georgia" w:hAnsi="Georgia"/>
            <w:color w:val="000000"/>
            <w:sz w:val="22"/>
            <w:szCs w:val="22"/>
            <w:u w:val="single" w:color="000000"/>
          </w:rPr>
          <w:t xml:space="preserve">https://suretyone.com/pdf/all-bonds/cbp-bond-explanations.pdf</w:t>
        </w:r>
      </w:hyperlink>
    </w:p>
    <w:p>
      <w:pPr>
        <w:spacing w:after="80" w:before="80" w:line="330"/>
      </w:pPr>
      <w:r>
        <w:rPr>
          <w:rFonts w:ascii="Nirmala UI" w:cs="Nirmala UI" w:eastAsia="Nirmala UI" w:hAnsi="Nirmala UI"/>
          <w:b/>
          <w:bCs/>
          <w:color w:val="B22222"/>
          <w:sz w:val="22"/>
          <w:szCs w:val="22"/>
        </w:rPr>
        <w:t xml:space="preserve">Surety One Blog — सीमा शुल्क बॉन्ड लेख एवं टिप्पणियाँ  —  </w:t>
      </w:r>
      <w:hyperlink w:history="1" r:id="rIda76v3khkkgfhz5jlz5zfe">
        <w:r>
          <w:rPr>
            <w:rFonts w:ascii="Georgia" w:cs="Georgia" w:eastAsia="Georgia" w:hAnsi="Georgia"/>
            <w:color w:val="000000"/>
            <w:sz w:val="22"/>
            <w:szCs w:val="22"/>
            <w:u w:val="single" w:color="000000"/>
          </w:rPr>
          <w:t xml:space="preserve">https://suretyone.com/blog/</w:t>
        </w:r>
      </w:hyperlink>
    </w:p>
    <w:p>
      <w:pPr>
        <w:spacing w:after="80" w:before="80" w:line="330"/>
      </w:pPr>
      <w:r>
        <w:rPr>
          <w:rFonts w:ascii="Nirmala UI" w:cs="Nirmala UI" w:eastAsia="Nirmala UI" w:hAnsi="Nirmala UI"/>
          <w:b/>
          <w:bCs/>
          <w:color w:val="B22222"/>
          <w:sz w:val="22"/>
          <w:szCs w:val="22"/>
        </w:rPr>
        <w:t xml:space="preserve">अंडरराइटिंग ईमेल  —  </w:t>
      </w:r>
      <w:hyperlink w:history="1" r:id="rIdiqhbhop-7l5xd9tgn11ol">
        <w:r>
          <w:rPr>
            <w:rFonts w:ascii="Georgia" w:cs="Georgia" w:eastAsia="Georgia" w:hAnsi="Georgia"/>
            <w:color w:val="000000"/>
            <w:sz w:val="22"/>
            <w:szCs w:val="22"/>
            <w:u w:val="single" w:color="000000"/>
          </w:rPr>
          <w:t xml:space="preserve">mailto:Underwriting@SuretyOne.com</w:t>
        </w:r>
      </w:hyperlink>
    </w:p>
    <w:p>
      <w:pPr>
        <w:pStyle w:val="Heading1"/>
        <w:pageBreakBefore/>
        <w:pBdr>
          <w:bottom w:val="single" w:color="B22222" w:sz="12" w:space="4"/>
        </w:pBdr>
        <w:spacing w:after="240" w:before="240"/>
      </w:pPr>
      <w:r>
        <w:rPr>
          <w:rFonts w:ascii="Nirmala UI" w:cs="Nirmala UI" w:eastAsia="Nirmala UI" w:hAnsi="Nirmala UI"/>
          <w:b/>
          <w:bCs/>
          <w:color w:val="B22222"/>
          <w:sz w:val="36"/>
          <w:szCs w:val="36"/>
        </w:rPr>
        <w:t xml:space="preserve">प्रकाशन-विवरण</w:t>
      </w:r>
    </w:p>
    <w:p>
      <w:pPr>
        <w:spacing w:after="140" w:line="340"/>
        <w:jc w:val="both"/>
      </w:pPr>
      <w:r>
        <w:rPr>
          <w:rFonts w:ascii="Mangal" w:cs="Mangal" w:eastAsia="Mangal" w:hAnsi="Mangal"/>
          <w:color w:val="000000"/>
          <w:sz w:val="22"/>
          <w:szCs w:val="22"/>
        </w:rPr>
        <w:t xml:space="preserve">“अमेरिकी सीमा शुल्क बॉन्ड — व्यावसायिक मार्गदर्शिका” Surety One, Inc. के संस्थापक C. Constantin Poindexter द्वारा रचित है। यह मार्गदर्शिका मई 2026 तक के क़ानून एवं CBP-व्यवहार को प्रतिबिंबित करती है, तथा आयातकों, सीमा शुल्क दलालों, विदेशी व्यापार क्षेत्र संचालकों, बंधक गोदामों, अंतरराष्ट्रीय परिवाहकों, समुद्री टर्मिनल संचालकों तथा अन्य विनियमित गतिविधियों में संलग्न पक्षों के लिए एक कार्य-संदर्भ के रूप में प्रस्तुत है।</w:t>
      </w:r>
    </w:p>
    <w:p>
      <w:pPr>
        <w:spacing w:after="140" w:line="340"/>
        <w:jc w:val="both"/>
      </w:pPr>
      <w:r>
        <w:rPr>
          <w:rFonts w:ascii="Mangal" w:cs="Mangal" w:eastAsia="Mangal" w:hAnsi="Mangal"/>
          <w:color w:val="000000"/>
          <w:sz w:val="22"/>
          <w:szCs w:val="22"/>
        </w:rPr>
        <w:t xml:space="preserve">इस मार्गदर्शिका में कोई भी सामग्री विधिक परामर्श नहीं है। बॉन्ड एक अनुबंध है; विशिष्ट बॉन्ड-निर्णय योग्य सीमा शुल्क-विधिज्ञ तथा राजकोष-सूचीबद्ध प्रत्याभू के परामर्श से ही किए जाने चाहिए। Code of Federal Regulations तथा CBP प्रकाशनों के संदर्भ प्रकाशन-दिनांक तक के अद्यतन हैं तथा परिवर्तन के अधीन हैं। जहाँ यह मार्गदर्शिका 20 फ़रवरी 2026 के सुप्रीम कोर्ट Learning Resources, Inc. v. Trump निर्णय का संदर्भ देती है, वह निर्णय हाल का है तथा उससे संबंधित CBP-मार्गदर्शन सतत विकासाधीन है।</w:t>
      </w:r>
    </w:p>
    <w:p>
      <w:pPr>
        <w:spacing w:after="240"/>
      </w:pPr>
      <w:r>
        <w:t xml:space="preserve"/>
      </w:r>
    </w:p>
    <w:p>
      <w:pPr>
        <w:pBdr>
          <w:bottom w:val="single" w:color="B22222" w:sz="6" w:space="2"/>
        </w:pBdr>
        <w:spacing w:after="120" w:before="120"/>
      </w:pPr>
      <w:r>
        <w:t xml:space="preserve"/>
      </w:r>
    </w:p>
    <w:p>
      <w:pPr>
        <w:spacing w:after="120"/>
      </w:pPr>
      <w:r>
        <w:t xml:space="preserve"/>
      </w:r>
    </w:p>
    <w:p>
      <w:pPr>
        <w:jc w:val="center"/>
      </w:pPr>
      <w:r>
        <w:rPr>
          <w:rFonts w:ascii="Georgia" w:cs="Georgia" w:eastAsia="Georgia" w:hAnsi="Georgia"/>
          <w:b/>
          <w:bCs/>
          <w:color w:val="B22222"/>
          <w:sz w:val="28"/>
          <w:szCs w:val="28"/>
        </w:rPr>
        <w:t xml:space="preserve">SURETY ONE, INC.</w:t>
      </w:r>
    </w:p>
    <w:p>
      <w:pPr>
        <w:jc w:val="center"/>
      </w:pPr>
      <w:r>
        <w:rPr>
          <w:rFonts w:ascii="Nirmala UI" w:cs="Nirmala UI" w:eastAsia="Nirmala UI" w:hAnsi="Nirmala UI"/>
          <w:i/>
          <w:iCs/>
          <w:color w:val="000000"/>
          <w:sz w:val="22"/>
          <w:szCs w:val="22"/>
        </w:rPr>
        <w:t xml:space="preserve">प्रत्येक CBP गतिविधि कोड के लिए अमेरिकी सीमा शुल्क बॉन्ड का अंडरराइटिंग — सभी राज्यों एवं अमेरिकी प्रांतों में।</w:t>
      </w:r>
    </w:p>
    <w:p>
      <w:pPr>
        <w:spacing w:after="160"/>
      </w:pPr>
      <w:r>
        <w:t xml:space="preserve"/>
      </w:r>
    </w:p>
    <w:p>
      <w:pPr>
        <w:jc w:val="center"/>
      </w:pPr>
      <w:r>
        <w:rPr>
          <w:rFonts w:ascii="Nirmala UI" w:cs="Nirmala UI" w:eastAsia="Nirmala UI" w:hAnsi="Nirmala UI"/>
          <w:color w:val="000000"/>
          <w:sz w:val="22"/>
          <w:szCs w:val="22"/>
        </w:rPr>
        <w:t xml:space="preserve">रैले  •  सैन हुआन</w:t>
      </w:r>
    </w:p>
    <w:p>
      <w:pPr>
        <w:jc w:val="center"/>
      </w:pPr>
      <w:r>
        <w:rPr>
          <w:rFonts w:ascii="Georgia" w:cs="Georgia" w:eastAsia="Georgia" w:hAnsi="Georgia"/>
          <w:color w:val="000000"/>
          <w:sz w:val="22"/>
          <w:szCs w:val="22"/>
        </w:rPr>
        <w:t xml:space="preserve">+1 (800) 373-2804  •  Underwriting@SuretyOne.com</w:t>
      </w:r>
    </w:p>
    <w:p>
      <w:pPr>
        <w:jc w:val="center"/>
      </w:pPr>
      <w:r>
        <w:rPr>
          <w:rFonts w:ascii="Georgia" w:cs="Georgia" w:eastAsia="Georgia" w:hAnsi="Georgia"/>
          <w:color w:val="000000"/>
          <w:sz w:val="22"/>
          <w:szCs w:val="22"/>
        </w:rPr>
        <w:t xml:space="preserve">SuretyOne.com   •   </w:t>
      </w:r>
      <w:r>
        <w:rPr>
          <w:rFonts w:ascii="Georgia" w:cs="Georgia" w:eastAsia="Georgia" w:hAnsi="Georgia"/>
          <w:b/>
          <w:bCs/>
          <w:color w:val="B22222"/>
          <w:sz w:val="22"/>
          <w:szCs w:val="22"/>
        </w:rPr>
        <w:t xml:space="preserve">Customs-Bonds.com</w:t>
      </w:r>
    </w:p>
    <w:p>
      <w:pPr>
        <w:spacing w:after="240"/>
      </w:pPr>
      <w:r>
        <w:t xml:space="preserve"/>
      </w:r>
    </w:p>
    <w:p>
      <w:pPr>
        <w:jc w:val="center"/>
      </w:pPr>
      <w:r>
        <w:rPr>
          <w:rFonts w:ascii="Nirmala UI" w:cs="Nirmala UI" w:eastAsia="Nirmala UI" w:hAnsi="Nirmala UI"/>
          <w:color w:val="000000"/>
          <w:sz w:val="18"/>
          <w:szCs w:val="18"/>
        </w:rPr>
        <w:t xml:space="preserve">© 2026 Surety One, Inc.  •  सर्वाधिकार सुरक्षित।</w:t>
      </w:r>
    </w:p>
    <w:sectPr>
      <w:headerReference w:type="default" r:id="rId7"/>
      <w:footerReference w:type="default" r:id="rId8"/>
      <w:pgSz w:w="12240" w:h="15840" w:orient="portrait"/>
      <w:pgMar w:top="1440" w:right="1440" w:bottom="1440" w:left="1440" w:header="720" w:footer="720"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pBdr>
        <w:top w:val="single" w:color="B22222" w:sz="6" w:space="4"/>
      </w:pBdr>
      <w:tabs>
        <w:tab w:val="center" w:pos="4680"/>
        <w:tab w:val="right" w:pos="9026"/>
      </w:tabs>
    </w:pPr>
    <w:r>
      <w:rPr>
        <w:rFonts w:ascii="Georgia" w:cs="Georgia" w:eastAsia="Georgia" w:hAnsi="Georgia"/>
        <w:color w:val="000000"/>
        <w:sz w:val="16"/>
        <w:szCs w:val="16"/>
      </w:rPr>
      <w:t xml:space="preserve">Surety One, Inc.  •  Underwriting@SuretyOne.com  •  +1 (800) 373-2804</w:t>
    </w:r>
    <w:r>
      <w:t xml:space="preserve">	</w:t>
    </w:r>
    <w:r>
      <w:rPr>
        <w:rFonts w:ascii="Nirmala UI" w:cs="Nirmala UI" w:eastAsia="Nirmala UI" w:hAnsi="Nirmala UI"/>
        <w:i/>
        <w:iCs/>
        <w:color w:val="000000"/>
        <w:sz w:val="16"/>
        <w:szCs w:val="16"/>
      </w:rPr>
      <w:t xml:space="preserve">लेखक: C. Constantin Poindexter</w:t>
    </w:r>
    <w:r>
      <w:t xml:space="preserve">	</w:t>
    </w:r>
    <w:r>
      <w:rPr>
        <w:rFonts w:ascii="Nirmala UI" w:cs="Nirmala UI" w:eastAsia="Nirmala UI" w:hAnsi="Nirmala UI"/>
        <w:b/>
        <w:bCs/>
        <w:color w:val="B22222"/>
        <w:sz w:val="16"/>
        <w:szCs w:val="16"/>
      </w:rPr>
      <w:t xml:space="preserve">पृष्ठ </w:t>
      <w:fldChar w:fldCharType="begin"/>
      <w:instrText xml:space="preserve">PAGE</w:instrText>
      <w:fldChar w:fldCharType="separate"/>
      <w:fldChar w:fldCharType="end"/>
      <w:t xml:space="preserve"> / </w:t>
      <w:fldChar w:fldCharType="begin"/>
      <w:instrText xml:space="preserve">NUMPAGES</w:instrText>
      <w:fldChar w:fldCharType="separate"/>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w16cid="http://schemas.microsoft.com/office/word/2016/wordml/cid" xmlns:w16se="http://schemas.microsoft.com/office/word/2015/wordml/symex">
  <w:p>
    <w:pPr>
      <w:pBdr>
        <w:bottom w:val="single" w:color="B22222" w:sz="6" w:space="4"/>
      </w:pBdr>
      <w:tabs>
        <w:tab w:val="right" w:pos="9026"/>
      </w:tabs>
    </w:pPr>
    <w:r>
      <w:rPr>
        <w:rFonts w:ascii="Nirmala UI" w:cs="Nirmala UI" w:eastAsia="Nirmala UI" w:hAnsi="Nirmala UI"/>
        <w:b/>
        <w:bCs/>
        <w:color w:val="B22222"/>
        <w:sz w:val="16"/>
        <w:szCs w:val="16"/>
      </w:rPr>
      <w:t xml:space="preserve">अमेरिकी सीमा शुल्क बॉन्ड — व्यावसायिक मार्गदर्शिका</w:t>
    </w:r>
    <w:r>
      <w:t xml:space="preserve">	</w:t>
    </w:r>
    <w:r>
      <w:rPr>
        <w:rFonts w:ascii="Georgia" w:cs="Georgia" w:eastAsia="Georgia" w:hAnsi="Georgia"/>
        <w:color w:val="000000"/>
        <w:sz w:val="16"/>
        <w:szCs w:val="16"/>
      </w:rPr>
      <w:t xml:space="preserve">SURETY ONE, INC.</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720" w:hanging="360"/>
      </w:pPr>
      <w:rPr>
        <w:rFonts w:ascii="Nirmala UI" w:cs="Nirmala UI" w:eastAsia="Nirmala UI" w:hAnsi="Nirmala UI"/>
        <w:color w:val="B22222"/>
      </w:rPr>
    </w:lvl>
  </w:abstractNum>
  <w:num w:numId="1">
    <w:abstractNumId w:val="1"/>
    <w:lvlOverride w:ilvl="0">
      <w:startOverride w:val="1"/>
    </w:lvlOverride>
  </w:num>
  <w:num w:numId="2">
    <w:abstractNumId w:val="2"/>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Mangal" w:cs="Mangal" w:eastAsia="Mangal" w:hAnsi="Mangal"/>
        <w:color w:val="000000"/>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 w:type="paragraph" w:styleId="Heading1">
    <w:name w:val="Heading 1"/>
    <w:basedOn w:val="Normal"/>
    <w:next w:val="Normal"/>
    <w:qFormat/>
    <w:pPr>
      <w:spacing w:after="240" w:before="360"/>
      <w:outlineLvl w:val="0"/>
    </w:pPr>
    <w:rPr>
      <w:rFonts w:ascii="Nirmala UI" w:cs="Nirmala UI" w:eastAsia="Nirmala UI" w:hAnsi="Nirmala UI"/>
      <w:b/>
      <w:bCs/>
      <w:color w:val="B22222"/>
      <w:sz w:val="36"/>
      <w:szCs w:val="36"/>
    </w:rPr>
  </w:style>
  <w:style w:type="paragraph" w:styleId="Heading2">
    <w:name w:val="Heading 2"/>
    <w:basedOn w:val="Normal"/>
    <w:next w:val="Normal"/>
    <w:qFormat/>
    <w:pPr>
      <w:spacing w:after="140" w:before="280"/>
      <w:outlineLvl w:val="1"/>
    </w:pPr>
    <w:rPr>
      <w:rFonts w:ascii="Nirmala UI" w:cs="Nirmala UI" w:eastAsia="Nirmala UI" w:hAnsi="Nirmala UI"/>
      <w:b/>
      <w:bCs/>
      <w:color w:val="000000"/>
      <w:sz w:val="28"/>
      <w:szCs w:val="28"/>
    </w:rPr>
  </w:style>
  <w:style w:type="paragraph" w:styleId="Heading3">
    <w:name w:val="Heading 3"/>
    <w:basedOn w:val="Normal"/>
    <w:next w:val="Normal"/>
    <w:qFormat/>
    <w:pPr>
      <w:spacing w:after="120" w:before="220"/>
      <w:outlineLvl w:val="2"/>
    </w:pPr>
    <w:rPr>
      <w:rFonts w:ascii="Nirmala UI" w:cs="Nirmala UI" w:eastAsia="Nirmala UI" w:hAnsi="Nirmala UI"/>
      <w:b/>
      <w:bCs/>
      <w:color w:val="B22222"/>
      <w:sz w:val="24"/>
      <w:szCs w:val="24"/>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header" Target="header1.xml"/><Relationship Id="rId8" Type="http://schemas.openxmlformats.org/officeDocument/2006/relationships/footer" Target="footer1.xml"/><Relationship Id="rIdnltz-lbvm43vxti4eatyv" Type="http://schemas.openxmlformats.org/officeDocument/2006/relationships/hyperlink" Target="https://www.cbp.gov" TargetMode="External"/><Relationship Id="rIdybffdbbvndr3bt5nz3thj" Type="http://schemas.openxmlformats.org/officeDocument/2006/relationships/hyperlink" Target="https://www.help.cbp.gov/s/article/Article1074" TargetMode="External"/><Relationship Id="rIdkg3ilp4as1ylduk6eiy9s" Type="http://schemas.openxmlformats.org/officeDocument/2006/relationships/hyperlink" Target="https://www.cbp.gov/trade/priority-issues/revenue/bonds/ipr-sample-bonds" TargetMode="External"/><Relationship Id="rIdvjj1n_c7xtammn9nskt4p" Type="http://schemas.openxmlformats.org/officeDocument/2006/relationships/hyperlink" Target="https://www.cbp.gov/sites/default/files/2024-05/cbp_form_301.pdf" TargetMode="External"/><Relationship Id="rIdladg2-uwbyks4-edfgt-1" Type="http://schemas.openxmlformats.org/officeDocument/2006/relationships/hyperlink" Target="https://content.govdelivery.com/attachments/USDHSCBP/2024/02/13/file_attachments/2782412/FINAL_A%20Guide%20for%20the%20Public_How%20CBP%20Sets%20Bond%20Amounts%20%28February%202024%29.pdf" TargetMode="External"/><Relationship Id="rIdh7uar-r2vx8taf8nhehk7" Type="http://schemas.openxmlformats.org/officeDocument/2006/relationships/hyperlink" Target="https://www.govinfo.gov/content/pkg/FR-2026-02-13/pdf/2026-02961.pdf" TargetMode="External"/><Relationship Id="rIdgzlp69nlns8yw7kc_zone" Type="http://schemas.openxmlformats.org/officeDocument/2006/relationships/hyperlink" Target="mailto:bondquestions@cbp.dhs.gov" TargetMode="External"/><Relationship Id="rIdx8wgh4wmnsiuq4zydx4u2" Type="http://schemas.openxmlformats.org/officeDocument/2006/relationships/hyperlink" Target="https://www.ecfr.gov/current/title-19/chapter-I/part-113" TargetMode="External"/><Relationship Id="rIdretzfjgigricacy-yk5ec" Type="http://schemas.openxmlformats.org/officeDocument/2006/relationships/hyperlink" Target="https://www.law.cornell.edu/cfr/text/19/113.61" TargetMode="External"/><Relationship Id="rId8boogv572msso5lk7urrv" Type="http://schemas.openxmlformats.org/officeDocument/2006/relationships/hyperlink" Target="https://www.law.cornell.edu/cfr/text/19/113.62" TargetMode="External"/><Relationship Id="rIdaetoh5pxnl9wtmhhjxjxx" Type="http://schemas.openxmlformats.org/officeDocument/2006/relationships/hyperlink" Target="https://www.law.cornell.edu/cfr/text/19/113.63" TargetMode="External"/><Relationship Id="rIdfhbu7yv5vvx-xrxw5ywbu" Type="http://schemas.openxmlformats.org/officeDocument/2006/relationships/hyperlink" Target="https://www.law.cornell.edu/cfr/text/19/113.64" TargetMode="External"/><Relationship Id="rIdafxi9zvl7afhijgol9wd9" Type="http://schemas.openxmlformats.org/officeDocument/2006/relationships/hyperlink" Target="https://www.law.cornell.edu/cfr/text/19/113.65" TargetMode="External"/><Relationship Id="rIdjayfp1yvwexavlo-v-uum" Type="http://schemas.openxmlformats.org/officeDocument/2006/relationships/hyperlink" Target="https://www.law.cornell.edu/cfr/text/19/113.73" TargetMode="External"/><Relationship Id="rIdpqvopxxpvl7_o80nya1q_" Type="http://schemas.openxmlformats.org/officeDocument/2006/relationships/hyperlink" Target="https://www.ecfr.gov/current/title-19/chapter-I/part-149" TargetMode="External"/><Relationship Id="rIdw8qrozoj02c2zqcuq-r5h" Type="http://schemas.openxmlformats.org/officeDocument/2006/relationships/hyperlink" Target="https://www.ecfr.gov/current/title-19/chapter-I/part-190" TargetMode="External"/><Relationship Id="rIdxw8vyy3a9qu0i0-rkj34g" Type="http://schemas.openxmlformats.org/officeDocument/2006/relationships/hyperlink" Target="https://fiscal.treasury.gov/surety-bonds/" TargetMode="External"/><Relationship Id="rId25ywpth-zfsjn3gamvdka" Type="http://schemas.openxmlformats.org/officeDocument/2006/relationships/hyperlink" Target="https://fiscal.treasury.gov/surety-bonds/circular-570.html" TargetMode="External"/><Relationship Id="rIdy6dcpkrqs-vfubzzx6-_d" Type="http://schemas.openxmlformats.org/officeDocument/2006/relationships/hyperlink" Target="https://fiscal.treasury.gov/about-us/doing-business-with-fiscal-service/surety-bonds/contacts" TargetMode="External"/><Relationship Id="rIdo_1vojfyfmiimpyqjgbrr" Type="http://schemas.openxmlformats.org/officeDocument/2006/relationships/hyperlink" Target="https://suretyone.com" TargetMode="External"/><Relationship Id="rIdh3oe_kn8uy3wieui54lk0" Type="http://schemas.openxmlformats.org/officeDocument/2006/relationships/hyperlink" Target="https://suretyone.com/us-customs-bond" TargetMode="External"/><Relationship Id="rIdpqarh9tyhm0a2jlffhmsn" Type="http://schemas.openxmlformats.org/officeDocument/2006/relationships/hyperlink" Target="https://customs-bonds.com" TargetMode="External"/><Relationship Id="rIdperarkpwvdcqmbb0unuty" Type="http://schemas.openxmlformats.org/officeDocument/2006/relationships/hyperlink" Target="https://suretyone.com/pdf/all-bonds/customs-and-border-protection-us-customs-bond-application.pdf" TargetMode="External"/><Relationship Id="rId7c45viailxdxudtojajtp" Type="http://schemas.openxmlformats.org/officeDocument/2006/relationships/hyperlink" Target="https://suretyone.com/pdf/all-bonds/cbp-bond-explanations.pdf" TargetMode="External"/><Relationship Id="rIda76v3khkkgfhz5jlz5zfe" Type="http://schemas.openxmlformats.org/officeDocument/2006/relationships/hyperlink" Target="https://suretyone.com/blog/" TargetMode="External"/><Relationship Id="rIdiqhbhop-7l5xd9tgn11ol" Type="http://schemas.openxmlformats.org/officeDocument/2006/relationships/hyperlink" Target="mailto:Underwriting@SuretyOne.com" TargetMode="External"/><Relationship Id="rId35"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word/_rels/header1.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अमेरिकी सीमा शुल्क बॉन्ड - व्यावसायिक मार्गदर्शिका</dc:title>
  <dc:creator>C. Constantin Poindexter</dc:creator>
  <dc:description>प्रत्येक CBP गतिविधि कोड की संपूर्ण व्याख्या — Surety One, Inc.</dc:description>
  <cp:lastModifiedBy>Un-named</cp:lastModifiedBy>
  <cp:revision>1</cp:revision>
  <dcterms:created xsi:type="dcterms:W3CDTF">2026-06-06T21:08:50.646Z</dcterms:created>
  <dcterms:modified xsi:type="dcterms:W3CDTF">2026-06-06T21:08:50.657Z</dcterms:modified>
</cp:coreProperties>
</file>

<file path=docProps/custom.xml><?xml version="1.0" encoding="utf-8"?>
<Properties xmlns="http://schemas.openxmlformats.org/officeDocument/2006/custom-properties" xmlns:vt="http://schemas.openxmlformats.org/officeDocument/2006/docPropsVTypes"/>
</file>